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67" w:rsidRDefault="002A54E1" w:rsidP="0052192C">
      <w:pPr>
        <w:sectPr w:rsidR="00D13A67" w:rsidSect="008227E5">
          <w:headerReference w:type="default" r:id="rId9"/>
          <w:pgSz w:w="11906" w:h="16838"/>
          <w:pgMar w:top="1440" w:right="1440" w:bottom="851" w:left="1440" w:header="708" w:footer="708" w:gutter="0"/>
          <w:cols w:space="708"/>
          <w:docGrid w:linePitch="360"/>
        </w:sectPr>
      </w:pPr>
      <w:bookmarkStart w:id="0" w:name="_GoBack"/>
      <w:bookmarkEnd w:id="0"/>
      <w:r>
        <w:rPr>
          <w:noProof/>
          <w:color w:val="1F497D" w:themeColor="text2"/>
          <w:sz w:val="72"/>
          <w:szCs w:val="72"/>
          <w:lang w:eastAsia="en-NZ"/>
        </w:rPr>
        <w:drawing>
          <wp:anchor distT="0" distB="0" distL="114300" distR="114300" simplePos="0" relativeHeight="251656192" behindDoc="1" locked="0" layoutInCell="1" allowOverlap="0" wp14:anchorId="731BCA58" wp14:editId="0C2E8297">
            <wp:simplePos x="0" y="0"/>
            <wp:positionH relativeFrom="column">
              <wp:posOffset>-895350</wp:posOffset>
            </wp:positionH>
            <wp:positionV relativeFrom="page">
              <wp:posOffset>27940</wp:posOffset>
            </wp:positionV>
            <wp:extent cx="7525385" cy="10643235"/>
            <wp:effectExtent l="0" t="0" r="0" b="5715"/>
            <wp:wrapTight wrapText="bothSides">
              <wp:wrapPolygon edited="0">
                <wp:start x="0" y="0"/>
                <wp:lineTo x="0" y="21573"/>
                <wp:lineTo x="21543" y="21573"/>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travers\AppData\Local\Microsoft\Windows\INetCache\Content.Word\cover.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25385" cy="10643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DE4">
        <w:br w:type="page"/>
      </w:r>
    </w:p>
    <w:p w:rsidR="007C20FC" w:rsidRPr="00901935" w:rsidRDefault="00720D73" w:rsidP="0025450C">
      <w:pPr>
        <w:pStyle w:val="Heading1"/>
        <w:rPr>
          <w:color w:val="1F497D" w:themeColor="text2"/>
        </w:rPr>
      </w:pPr>
      <w:r w:rsidRPr="00901935">
        <w:rPr>
          <w:color w:val="1F497D" w:themeColor="text2"/>
        </w:rPr>
        <w:lastRenderedPageBreak/>
        <w:t>I</w:t>
      </w:r>
      <w:r w:rsidR="00A37DE4" w:rsidRPr="00901935">
        <w:rPr>
          <w:color w:val="1F497D" w:themeColor="text2"/>
        </w:rPr>
        <w:t>ntroduction</w:t>
      </w:r>
    </w:p>
    <w:p w:rsidR="00A37DE4" w:rsidRDefault="00A37DE4" w:rsidP="0052192C"/>
    <w:p w:rsidR="0052192C" w:rsidRDefault="0052192C" w:rsidP="0052192C">
      <w:r>
        <w:t xml:space="preserve">In early April 2017, the </w:t>
      </w:r>
      <w:r w:rsidRPr="00080E28">
        <w:t xml:space="preserve">Whakatāne District experienced widespread damage </w:t>
      </w:r>
      <w:r>
        <w:t xml:space="preserve">to homes, property, businesses, farms, the natural environment and infrastructure </w:t>
      </w:r>
      <w:r w:rsidRPr="00080E28">
        <w:t>as a result of the event</w:t>
      </w:r>
      <w:r>
        <w:t>s</w:t>
      </w:r>
      <w:r w:rsidRPr="00080E28">
        <w:t xml:space="preserve"> generated by </w:t>
      </w:r>
      <w:r>
        <w:t>ex-Cyclone</w:t>
      </w:r>
      <w:r w:rsidRPr="00080E28">
        <w:t xml:space="preserve"> Debbie</w:t>
      </w:r>
      <w:r>
        <w:t xml:space="preserve"> and ex-Cyclone Cook. </w:t>
      </w:r>
    </w:p>
    <w:p w:rsidR="0052192C" w:rsidRDefault="0052192C" w:rsidP="0052192C">
      <w:r w:rsidRPr="006407B6">
        <w:t xml:space="preserve">The primary goal for the </w:t>
      </w:r>
      <w:r>
        <w:t xml:space="preserve">Whakatāne District Recovery </w:t>
      </w:r>
      <w:r w:rsidRPr="006407B6">
        <w:t xml:space="preserve">Programme is to restore and create opportunities to enhance our community wellbeing. </w:t>
      </w:r>
    </w:p>
    <w:p w:rsidR="0052192C" w:rsidRDefault="0052192C" w:rsidP="0052192C">
      <w:r w:rsidRPr="006407B6">
        <w:t xml:space="preserve">The recovery framework establishes five, interrelated </w:t>
      </w:r>
      <w:r w:rsidR="008125FB">
        <w:t>strands</w:t>
      </w:r>
      <w:r w:rsidRPr="006407B6">
        <w:t xml:space="preserve"> of Community, Natural/Rural, Built,</w:t>
      </w:r>
      <w:r>
        <w:t xml:space="preserve"> Economic and Partnership. O</w:t>
      </w:r>
      <w:r w:rsidRPr="006407B6">
        <w:t>bjectives and outcomes for eac</w:t>
      </w:r>
      <w:r>
        <w:t xml:space="preserve">h environment are outlined along with a range of success factors, milestones and indicative timeframes.  </w:t>
      </w:r>
    </w:p>
    <w:p w:rsidR="00B6288C" w:rsidRPr="00720D73" w:rsidRDefault="008125FB" w:rsidP="00720D73">
      <w:r>
        <w:t xml:space="preserve">This Plan represents the </w:t>
      </w:r>
      <w:r w:rsidR="00720D73">
        <w:t xml:space="preserve">Community </w:t>
      </w:r>
      <w:r>
        <w:t xml:space="preserve">Partnership strand.  </w:t>
      </w:r>
      <w:r w:rsidR="007C20FC">
        <w:t>It draws on the IAP2 spectrum with the emphasis in this community recovery being on involvement and collaboration</w:t>
      </w:r>
      <w:r w:rsidR="00720D73">
        <w:t>.</w:t>
      </w:r>
    </w:p>
    <w:p w:rsidR="00B6288C" w:rsidRDefault="00B6288C" w:rsidP="00B6288C">
      <w:pPr>
        <w:rPr>
          <w:rFonts w:cstheme="minorHAnsi"/>
        </w:rPr>
      </w:pPr>
      <w:r>
        <w:rPr>
          <w:rFonts w:cstheme="minorHAnsi"/>
        </w:rPr>
        <w:t xml:space="preserve">In recognition of the significance of the partnership </w:t>
      </w:r>
      <w:r w:rsidR="0032241F">
        <w:rPr>
          <w:rFonts w:cstheme="minorHAnsi"/>
        </w:rPr>
        <w:t>with iwi authorities, specific I</w:t>
      </w:r>
      <w:r>
        <w:rPr>
          <w:rFonts w:cstheme="minorHAnsi"/>
        </w:rPr>
        <w:t xml:space="preserve">wi engagement has been incorporated into this plan.  </w:t>
      </w:r>
    </w:p>
    <w:p w:rsidR="00720D73" w:rsidRPr="00863835" w:rsidRDefault="00720D73" w:rsidP="00B6288C">
      <w:pPr>
        <w:rPr>
          <w:rFonts w:cstheme="minorHAnsi"/>
        </w:rPr>
      </w:pPr>
    </w:p>
    <w:p w:rsidR="008125FB" w:rsidRPr="00901935" w:rsidRDefault="008125FB" w:rsidP="008125FB">
      <w:pPr>
        <w:pStyle w:val="Heading1"/>
        <w:rPr>
          <w:color w:val="1F497D" w:themeColor="text2"/>
        </w:rPr>
      </w:pPr>
      <w:bookmarkStart w:id="1" w:name="_Toc486411749"/>
      <w:r w:rsidRPr="00901935">
        <w:rPr>
          <w:color w:val="1F497D" w:themeColor="text2"/>
        </w:rPr>
        <w:t>Principles</w:t>
      </w:r>
      <w:bookmarkEnd w:id="1"/>
    </w:p>
    <w:p w:rsidR="008125FB" w:rsidRDefault="008125FB" w:rsidP="008125FB"/>
    <w:p w:rsidR="0032241F" w:rsidRDefault="008125FB" w:rsidP="008125FB">
      <w:r>
        <w:t xml:space="preserve">To be able to achieve this goal, the following principles will guide </w:t>
      </w:r>
      <w:r w:rsidR="0032241F">
        <w:t>the Recovery Team’s</w:t>
      </w:r>
      <w:r>
        <w:t xml:space="preserve"> work</w:t>
      </w:r>
      <w:r w:rsidR="008227E5">
        <w:t>.</w:t>
      </w:r>
      <w:r w:rsidR="00A37DE4">
        <w:t xml:space="preserve">  Partnership and engagement is an essential component of the recovery process.  </w:t>
      </w:r>
    </w:p>
    <w:tbl>
      <w:tblPr>
        <w:tblStyle w:val="TableGrid"/>
        <w:tblW w:w="9396" w:type="dxa"/>
        <w:tblLook w:val="04A0" w:firstRow="1" w:lastRow="0" w:firstColumn="1" w:lastColumn="0" w:noHBand="0" w:noVBand="1"/>
      </w:tblPr>
      <w:tblGrid>
        <w:gridCol w:w="9396"/>
      </w:tblGrid>
      <w:tr w:rsidR="00BA4A03" w:rsidRPr="00F729F7" w:rsidTr="0025450C">
        <w:trPr>
          <w:trHeight w:val="804"/>
        </w:trPr>
        <w:tc>
          <w:tcPr>
            <w:tcW w:w="9396" w:type="dxa"/>
            <w:tcBorders>
              <w:right w:val="single" w:sz="4" w:space="0" w:color="auto"/>
            </w:tcBorders>
            <w:shd w:val="clear" w:color="auto" w:fill="1F497D" w:themeFill="text2"/>
            <w:vAlign w:val="center"/>
          </w:tcPr>
          <w:p w:rsidR="00BA4A03" w:rsidRPr="00F729F7" w:rsidRDefault="00BA4A03" w:rsidP="00BA4A03">
            <w:pPr>
              <w:ind w:left="360"/>
              <w:jc w:val="center"/>
              <w:rPr>
                <w:sz w:val="20"/>
                <w:szCs w:val="20"/>
              </w:rPr>
            </w:pPr>
            <w:r w:rsidRPr="00F577FF">
              <w:rPr>
                <w:b/>
                <w:bCs/>
                <w:color w:val="FFFFFF" w:themeColor="background1"/>
                <w:szCs w:val="20"/>
              </w:rPr>
              <w:t>Principles for recovery actions</w:t>
            </w:r>
          </w:p>
        </w:tc>
      </w:tr>
      <w:tr w:rsidR="00BA4A03" w:rsidRPr="00F729F7" w:rsidTr="0025450C">
        <w:trPr>
          <w:trHeight w:val="1732"/>
        </w:trPr>
        <w:tc>
          <w:tcPr>
            <w:tcW w:w="9396" w:type="dxa"/>
            <w:tcBorders>
              <w:right w:val="single" w:sz="4" w:space="0" w:color="auto"/>
            </w:tcBorders>
            <w:shd w:val="clear" w:color="auto" w:fill="FFFFFF" w:themeFill="background1"/>
            <w:tcMar>
              <w:top w:w="85" w:type="dxa"/>
              <w:left w:w="0" w:type="dxa"/>
              <w:right w:w="142" w:type="dxa"/>
            </w:tcMar>
          </w:tcPr>
          <w:p w:rsidR="006F1CE5" w:rsidRPr="0025450C" w:rsidRDefault="006F1CE5" w:rsidP="00901935">
            <w:pPr>
              <w:numPr>
                <w:ilvl w:val="0"/>
                <w:numId w:val="38"/>
              </w:numPr>
              <w:rPr>
                <w:szCs w:val="20"/>
              </w:rPr>
            </w:pPr>
            <w:r w:rsidRPr="0025450C">
              <w:rPr>
                <w:szCs w:val="20"/>
              </w:rPr>
              <w:t>Locally-led, regionally co-ordinated, nationally supported.</w:t>
            </w:r>
          </w:p>
          <w:p w:rsidR="00BA4A03" w:rsidRPr="0025450C" w:rsidRDefault="00BA4A03" w:rsidP="00901935">
            <w:pPr>
              <w:numPr>
                <w:ilvl w:val="0"/>
                <w:numId w:val="38"/>
              </w:numPr>
              <w:rPr>
                <w:szCs w:val="20"/>
              </w:rPr>
            </w:pPr>
            <w:r w:rsidRPr="0025450C">
              <w:rPr>
                <w:szCs w:val="20"/>
              </w:rPr>
              <w:t>Protect the health, safety and security of people, animals and property.</w:t>
            </w:r>
          </w:p>
          <w:p w:rsidR="00BA4A03" w:rsidRPr="0025450C" w:rsidRDefault="006F1CE5" w:rsidP="00901935">
            <w:pPr>
              <w:numPr>
                <w:ilvl w:val="0"/>
                <w:numId w:val="38"/>
              </w:numPr>
              <w:rPr>
                <w:szCs w:val="20"/>
              </w:rPr>
            </w:pPr>
            <w:r w:rsidRPr="0025450C">
              <w:rPr>
                <w:szCs w:val="20"/>
              </w:rPr>
              <w:t>Be r</w:t>
            </w:r>
            <w:r w:rsidR="00BA4A03" w:rsidRPr="0025450C">
              <w:rPr>
                <w:szCs w:val="20"/>
              </w:rPr>
              <w:t>esponsive to the concerns of the community.</w:t>
            </w:r>
          </w:p>
          <w:p w:rsidR="00BA4A03" w:rsidRPr="0025450C" w:rsidRDefault="00BA4A03" w:rsidP="00901935">
            <w:pPr>
              <w:numPr>
                <w:ilvl w:val="0"/>
                <w:numId w:val="38"/>
              </w:numPr>
              <w:rPr>
                <w:szCs w:val="20"/>
              </w:rPr>
            </w:pPr>
            <w:r w:rsidRPr="0025450C">
              <w:rPr>
                <w:szCs w:val="20"/>
              </w:rPr>
              <w:t>Community engagement is central to recovery decisions.</w:t>
            </w:r>
          </w:p>
          <w:p w:rsidR="006F1CE5" w:rsidRPr="0025450C" w:rsidRDefault="006F1CE5" w:rsidP="00901935">
            <w:pPr>
              <w:numPr>
                <w:ilvl w:val="0"/>
                <w:numId w:val="38"/>
              </w:numPr>
              <w:rPr>
                <w:szCs w:val="20"/>
              </w:rPr>
            </w:pPr>
            <w:r w:rsidRPr="0025450C">
              <w:rPr>
                <w:szCs w:val="20"/>
              </w:rPr>
              <w:t>Recognise and enhance Iwi values and aspirations.</w:t>
            </w:r>
          </w:p>
          <w:p w:rsidR="00BA4A03" w:rsidRPr="006F1CE5" w:rsidRDefault="00BA4A03" w:rsidP="00901935">
            <w:pPr>
              <w:numPr>
                <w:ilvl w:val="0"/>
                <w:numId w:val="38"/>
              </w:numPr>
              <w:rPr>
                <w:sz w:val="20"/>
                <w:szCs w:val="20"/>
              </w:rPr>
            </w:pPr>
            <w:r w:rsidRPr="0025450C">
              <w:rPr>
                <w:szCs w:val="20"/>
              </w:rPr>
              <w:t>Suppor</w:t>
            </w:r>
            <w:r w:rsidR="006F1CE5" w:rsidRPr="0025450C">
              <w:rPr>
                <w:szCs w:val="20"/>
              </w:rPr>
              <w:t>t and enable</w:t>
            </w:r>
            <w:r w:rsidRPr="0025450C">
              <w:rPr>
                <w:szCs w:val="20"/>
              </w:rPr>
              <w:t xml:space="preserve"> community wellbeing.</w:t>
            </w:r>
          </w:p>
        </w:tc>
      </w:tr>
    </w:tbl>
    <w:p w:rsidR="0032241F" w:rsidRDefault="0032241F" w:rsidP="00530B96">
      <w:bookmarkStart w:id="2" w:name="_Toc487530641"/>
    </w:p>
    <w:p w:rsidR="006D1150" w:rsidRDefault="00564ABC" w:rsidP="006D1150">
      <w:r>
        <w:t>P</w:t>
      </w:r>
      <w:r w:rsidR="0032241F">
        <w:t>rinciples for community engagement have been adopted (refer to table below)</w:t>
      </w:r>
      <w:r w:rsidR="00530B96">
        <w:t xml:space="preserve"> by the Recovery Team</w:t>
      </w:r>
      <w:r w:rsidR="006F1CE5">
        <w:t>.  B</w:t>
      </w:r>
      <w:r w:rsidR="0032241F">
        <w:t xml:space="preserve">ased on Iwi engagement principles, they provide a sound basis for communication and engagement </w:t>
      </w:r>
      <w:r w:rsidR="006F1CE5">
        <w:t>across</w:t>
      </w:r>
      <w:r w:rsidR="0032241F">
        <w:t xml:space="preserve"> </w:t>
      </w:r>
      <w:r w:rsidR="00530B96">
        <w:t>the community</w:t>
      </w:r>
      <w:r w:rsidR="006F1CE5">
        <w:t>.  M</w:t>
      </w:r>
      <w:r w:rsidR="00530B96">
        <w:t xml:space="preserve">eeting </w:t>
      </w:r>
      <w:r w:rsidR="006D1150" w:rsidRPr="00A37DE4">
        <w:t>in person and ma</w:t>
      </w:r>
      <w:r w:rsidR="00530B96">
        <w:t>king</w:t>
      </w:r>
      <w:r w:rsidR="006D1150" w:rsidRPr="00A37DE4">
        <w:t xml:space="preserve"> face-to-f</w:t>
      </w:r>
      <w:r w:rsidR="00530B96">
        <w:t xml:space="preserve">ace </w:t>
      </w:r>
      <w:r w:rsidR="006F1CE5">
        <w:t>contact is</w:t>
      </w:r>
      <w:r w:rsidR="00530B96">
        <w:t xml:space="preserve"> a priority.  </w:t>
      </w:r>
      <w:r w:rsidR="006D1150" w:rsidRPr="00A37DE4">
        <w:t>The</w:t>
      </w:r>
      <w:r w:rsidR="00530B96">
        <w:t>se</w:t>
      </w:r>
      <w:r w:rsidR="006D1150" w:rsidRPr="00A37DE4">
        <w:t xml:space="preserve"> approach</w:t>
      </w:r>
      <w:r w:rsidR="00530B96">
        <w:t xml:space="preserve">es </w:t>
      </w:r>
      <w:r w:rsidR="006F1CE5">
        <w:t>show</w:t>
      </w:r>
      <w:r w:rsidR="00530B96">
        <w:t xml:space="preserve"> respect and </w:t>
      </w:r>
      <w:r w:rsidR="006F1CE5">
        <w:t>demonstrate</w:t>
      </w:r>
      <w:r w:rsidR="006D1150" w:rsidRPr="00A37DE4">
        <w:t xml:space="preserve"> a sense of partnership.</w:t>
      </w:r>
    </w:p>
    <w:p w:rsidR="00564ABC" w:rsidRDefault="00564ABC" w:rsidP="006D1150"/>
    <w:p w:rsidR="00564ABC" w:rsidRDefault="00564ABC" w:rsidP="006D1150"/>
    <w:tbl>
      <w:tblPr>
        <w:tblStyle w:val="TableGrid"/>
        <w:tblW w:w="9474" w:type="dxa"/>
        <w:tblLook w:val="04A0" w:firstRow="1" w:lastRow="0" w:firstColumn="1" w:lastColumn="0" w:noHBand="0" w:noVBand="1"/>
      </w:tblPr>
      <w:tblGrid>
        <w:gridCol w:w="9474"/>
      </w:tblGrid>
      <w:tr w:rsidR="00530B96" w:rsidRPr="00F729F7" w:rsidTr="0025450C">
        <w:trPr>
          <w:trHeight w:val="727"/>
        </w:trPr>
        <w:tc>
          <w:tcPr>
            <w:tcW w:w="9474" w:type="dxa"/>
            <w:tcBorders>
              <w:left w:val="single" w:sz="4" w:space="0" w:color="auto"/>
            </w:tcBorders>
            <w:shd w:val="clear" w:color="auto" w:fill="1F497D" w:themeFill="text2"/>
            <w:vAlign w:val="center"/>
          </w:tcPr>
          <w:p w:rsidR="00530B96" w:rsidRPr="00F729F7" w:rsidRDefault="00530B96" w:rsidP="004749D1">
            <w:pPr>
              <w:ind w:left="360"/>
              <w:jc w:val="center"/>
              <w:rPr>
                <w:sz w:val="20"/>
                <w:szCs w:val="20"/>
              </w:rPr>
            </w:pPr>
            <w:r w:rsidRPr="00F577FF">
              <w:rPr>
                <w:b/>
                <w:bCs/>
                <w:color w:val="FFFFFF" w:themeColor="background1"/>
                <w:szCs w:val="20"/>
              </w:rPr>
              <w:lastRenderedPageBreak/>
              <w:t>Principles for community engagement</w:t>
            </w:r>
          </w:p>
        </w:tc>
      </w:tr>
      <w:tr w:rsidR="00530B96" w:rsidRPr="00F729F7" w:rsidTr="0025450C">
        <w:trPr>
          <w:trHeight w:val="1373"/>
        </w:trPr>
        <w:tc>
          <w:tcPr>
            <w:tcW w:w="9474" w:type="dxa"/>
            <w:tcBorders>
              <w:left w:val="single" w:sz="4" w:space="0" w:color="auto"/>
            </w:tcBorders>
            <w:shd w:val="clear" w:color="auto" w:fill="FFFFFF" w:themeFill="background1"/>
            <w:tcMar>
              <w:top w:w="85" w:type="dxa"/>
              <w:left w:w="0" w:type="dxa"/>
              <w:right w:w="142" w:type="dxa"/>
            </w:tcMar>
          </w:tcPr>
          <w:p w:rsidR="00530B96" w:rsidRPr="0025450C" w:rsidRDefault="00530B96" w:rsidP="00901935">
            <w:pPr>
              <w:numPr>
                <w:ilvl w:val="0"/>
                <w:numId w:val="39"/>
              </w:numPr>
              <w:rPr>
                <w:szCs w:val="20"/>
              </w:rPr>
            </w:pPr>
            <w:r w:rsidRPr="0025450C">
              <w:rPr>
                <w:szCs w:val="20"/>
              </w:rPr>
              <w:t>Whakaute – Respect for each other as partners.</w:t>
            </w:r>
          </w:p>
          <w:p w:rsidR="00530B96" w:rsidRPr="0025450C" w:rsidRDefault="00530B96" w:rsidP="00901935">
            <w:pPr>
              <w:numPr>
                <w:ilvl w:val="0"/>
                <w:numId w:val="39"/>
              </w:numPr>
              <w:rPr>
                <w:szCs w:val="20"/>
              </w:rPr>
            </w:pPr>
            <w:r w:rsidRPr="0025450C">
              <w:rPr>
                <w:szCs w:val="20"/>
              </w:rPr>
              <w:t>Pononga – Truthful and genuine engagement.</w:t>
            </w:r>
          </w:p>
          <w:p w:rsidR="00530B96" w:rsidRPr="0025450C" w:rsidRDefault="00530B96" w:rsidP="00901935">
            <w:pPr>
              <w:numPr>
                <w:ilvl w:val="0"/>
                <w:numId w:val="39"/>
              </w:numPr>
              <w:rPr>
                <w:szCs w:val="20"/>
              </w:rPr>
            </w:pPr>
            <w:r w:rsidRPr="0025450C">
              <w:rPr>
                <w:szCs w:val="20"/>
              </w:rPr>
              <w:t>Kanohi ki te kanohi – Meeting in person.</w:t>
            </w:r>
          </w:p>
          <w:p w:rsidR="00530B96" w:rsidRPr="0025450C" w:rsidRDefault="00530B96" w:rsidP="00901935">
            <w:pPr>
              <w:numPr>
                <w:ilvl w:val="0"/>
                <w:numId w:val="39"/>
              </w:numPr>
              <w:rPr>
                <w:szCs w:val="20"/>
              </w:rPr>
            </w:pPr>
            <w:r w:rsidRPr="0025450C">
              <w:rPr>
                <w:szCs w:val="20"/>
              </w:rPr>
              <w:t xml:space="preserve">Tikanga </w:t>
            </w:r>
            <w:r w:rsidR="00901935">
              <w:rPr>
                <w:szCs w:val="20"/>
              </w:rPr>
              <w:t>ā</w:t>
            </w:r>
            <w:r w:rsidRPr="0025450C">
              <w:rPr>
                <w:szCs w:val="20"/>
              </w:rPr>
              <w:t xml:space="preserve"> Iwi – Iwi protocols and belief systems.</w:t>
            </w:r>
          </w:p>
          <w:p w:rsidR="00530B96" w:rsidRPr="0025450C" w:rsidRDefault="0005141F" w:rsidP="00901935">
            <w:pPr>
              <w:pStyle w:val="ListParagraph"/>
              <w:numPr>
                <w:ilvl w:val="0"/>
                <w:numId w:val="39"/>
              </w:numPr>
              <w:spacing w:after="160" w:line="259" w:lineRule="auto"/>
              <w:rPr>
                <w:rFonts w:cstheme="minorHAnsi"/>
                <w:szCs w:val="20"/>
              </w:rPr>
            </w:pPr>
            <w:r w:rsidRPr="0025450C">
              <w:rPr>
                <w:szCs w:val="20"/>
              </w:rPr>
              <w:t>Tāngata</w:t>
            </w:r>
            <w:r w:rsidR="00901935">
              <w:rPr>
                <w:szCs w:val="20"/>
              </w:rPr>
              <w:t xml:space="preserve"> </w:t>
            </w:r>
            <w:r w:rsidRPr="0025450C">
              <w:rPr>
                <w:rFonts w:cstheme="minorHAnsi"/>
                <w:szCs w:val="20"/>
              </w:rPr>
              <w:t xml:space="preserve">- </w:t>
            </w:r>
            <w:r w:rsidR="00530B96" w:rsidRPr="0025450C">
              <w:rPr>
                <w:rFonts w:cstheme="minorHAnsi"/>
                <w:szCs w:val="20"/>
              </w:rPr>
              <w:t xml:space="preserve">People (individuals, families/whanau, iwi, businesses, farmers) are our priority </w:t>
            </w:r>
          </w:p>
          <w:p w:rsidR="00530B96" w:rsidRPr="0005141F" w:rsidRDefault="0005141F" w:rsidP="00901935">
            <w:pPr>
              <w:pStyle w:val="ListParagraph"/>
              <w:numPr>
                <w:ilvl w:val="0"/>
                <w:numId w:val="39"/>
              </w:numPr>
              <w:spacing w:after="160" w:line="259" w:lineRule="auto"/>
              <w:rPr>
                <w:rFonts w:cstheme="minorHAnsi"/>
                <w:sz w:val="20"/>
                <w:szCs w:val="20"/>
              </w:rPr>
            </w:pPr>
            <w:r w:rsidRPr="0025450C">
              <w:rPr>
                <w:rFonts w:cstheme="minorHAnsi"/>
                <w:szCs w:val="20"/>
              </w:rPr>
              <w:t>Whakawhiti Kōrero - R</w:t>
            </w:r>
            <w:r w:rsidR="00530B96" w:rsidRPr="0025450C">
              <w:rPr>
                <w:rFonts w:cstheme="minorHAnsi"/>
                <w:szCs w:val="20"/>
              </w:rPr>
              <w:t>esponsive, sensitive, clear and open in all our communication and engagement</w:t>
            </w:r>
            <w:r w:rsidRPr="0025450C">
              <w:rPr>
                <w:rFonts w:cstheme="minorHAnsi"/>
                <w:szCs w:val="20"/>
              </w:rPr>
              <w:t>.</w:t>
            </w:r>
          </w:p>
        </w:tc>
      </w:tr>
    </w:tbl>
    <w:p w:rsidR="00530B96" w:rsidRPr="00A37DE4" w:rsidRDefault="00530B96" w:rsidP="006D1150"/>
    <w:p w:rsidR="00530B96" w:rsidRPr="00901935" w:rsidRDefault="00530B96" w:rsidP="00530B96">
      <w:pPr>
        <w:pStyle w:val="Heading1"/>
        <w:rPr>
          <w:color w:val="1F497D" w:themeColor="text2"/>
        </w:rPr>
      </w:pPr>
      <w:r w:rsidRPr="00901935">
        <w:rPr>
          <w:color w:val="1F497D" w:themeColor="text2"/>
        </w:rPr>
        <w:t xml:space="preserve">Shaping </w:t>
      </w:r>
      <w:r w:rsidR="00317CD0" w:rsidRPr="00901935">
        <w:rPr>
          <w:color w:val="1F497D" w:themeColor="text2"/>
        </w:rPr>
        <w:t>the</w:t>
      </w:r>
      <w:r w:rsidRPr="00901935">
        <w:rPr>
          <w:color w:val="1F497D" w:themeColor="text2"/>
        </w:rPr>
        <w:t xml:space="preserve"> plan</w:t>
      </w:r>
    </w:p>
    <w:p w:rsidR="00530B96" w:rsidRDefault="00530B96" w:rsidP="00530B96">
      <w:pPr>
        <w:rPr>
          <w:rFonts w:cstheme="minorHAnsi"/>
        </w:rPr>
      </w:pPr>
    </w:p>
    <w:p w:rsidR="00530B96" w:rsidRPr="00623C6E" w:rsidRDefault="00530B96" w:rsidP="00530B96">
      <w:pPr>
        <w:rPr>
          <w:rFonts w:cstheme="minorHAnsi"/>
        </w:rPr>
      </w:pPr>
      <w:r w:rsidRPr="00623C6E">
        <w:rPr>
          <w:rFonts w:cstheme="minorHAnsi"/>
        </w:rPr>
        <w:t xml:space="preserve">To facilitate and support the Recovery </w:t>
      </w:r>
      <w:r>
        <w:rPr>
          <w:rFonts w:cstheme="minorHAnsi"/>
        </w:rPr>
        <w:t>Project</w:t>
      </w:r>
      <w:r w:rsidRPr="00623C6E">
        <w:rPr>
          <w:rFonts w:cstheme="minorHAnsi"/>
        </w:rPr>
        <w:t>, this Plan has been developed with input and advice from</w:t>
      </w:r>
      <w:r>
        <w:rPr>
          <w:rFonts w:cstheme="minorHAnsi"/>
        </w:rPr>
        <w:t xml:space="preserve"> our partners, including</w:t>
      </w:r>
      <w:r w:rsidRPr="00623C6E">
        <w:rPr>
          <w:rFonts w:cstheme="minorHAnsi"/>
        </w:rPr>
        <w:t>:</w:t>
      </w:r>
    </w:p>
    <w:p w:rsidR="00530B96" w:rsidRDefault="00530B96" w:rsidP="00B14389">
      <w:pPr>
        <w:pStyle w:val="ListParagraph"/>
        <w:numPr>
          <w:ilvl w:val="0"/>
          <w:numId w:val="4"/>
        </w:numPr>
        <w:spacing w:after="160" w:line="259" w:lineRule="auto"/>
        <w:rPr>
          <w:rFonts w:cstheme="minorHAnsi"/>
        </w:rPr>
      </w:pPr>
      <w:r w:rsidRPr="00810624">
        <w:rPr>
          <w:rFonts w:cstheme="minorHAnsi"/>
        </w:rPr>
        <w:t>E</w:t>
      </w:r>
      <w:r>
        <w:rPr>
          <w:rFonts w:cstheme="minorHAnsi"/>
        </w:rPr>
        <w:t xml:space="preserve">lected representatives, </w:t>
      </w:r>
      <w:r w:rsidRPr="00810624">
        <w:rPr>
          <w:rFonts w:cstheme="minorHAnsi"/>
        </w:rPr>
        <w:t xml:space="preserve">including </w:t>
      </w:r>
      <w:r>
        <w:rPr>
          <w:rFonts w:cstheme="minorHAnsi"/>
        </w:rPr>
        <w:t>C</w:t>
      </w:r>
      <w:r w:rsidRPr="00810624">
        <w:rPr>
          <w:rFonts w:cstheme="minorHAnsi"/>
        </w:rPr>
        <w:t xml:space="preserve">ommunity </w:t>
      </w:r>
      <w:r>
        <w:rPr>
          <w:rFonts w:cstheme="minorHAnsi"/>
        </w:rPr>
        <w:t xml:space="preserve">Boards </w:t>
      </w:r>
      <w:r w:rsidRPr="00810624">
        <w:rPr>
          <w:rFonts w:cstheme="minorHAnsi"/>
        </w:rPr>
        <w:t xml:space="preserve">from the affected areas </w:t>
      </w:r>
    </w:p>
    <w:p w:rsidR="00530B96" w:rsidRPr="00810624" w:rsidRDefault="00530B96" w:rsidP="00B14389">
      <w:pPr>
        <w:pStyle w:val="ListParagraph"/>
        <w:numPr>
          <w:ilvl w:val="0"/>
          <w:numId w:val="4"/>
        </w:numPr>
        <w:spacing w:after="160" w:line="259" w:lineRule="auto"/>
        <w:rPr>
          <w:rFonts w:cstheme="minorHAnsi"/>
        </w:rPr>
      </w:pPr>
      <w:r>
        <w:rPr>
          <w:rFonts w:cstheme="minorHAnsi"/>
        </w:rPr>
        <w:t>Bay of Plenty Regional Council</w:t>
      </w:r>
    </w:p>
    <w:p w:rsidR="00530B96" w:rsidRDefault="00530B96" w:rsidP="00B14389">
      <w:pPr>
        <w:pStyle w:val="ListParagraph"/>
        <w:numPr>
          <w:ilvl w:val="0"/>
          <w:numId w:val="4"/>
        </w:numPr>
        <w:spacing w:after="160" w:line="259" w:lineRule="auto"/>
        <w:rPr>
          <w:rFonts w:cstheme="minorHAnsi"/>
        </w:rPr>
      </w:pPr>
      <w:r w:rsidRPr="00810624">
        <w:rPr>
          <w:rFonts w:cstheme="minorHAnsi"/>
        </w:rPr>
        <w:t>Iwi representatives</w:t>
      </w:r>
      <w:r>
        <w:rPr>
          <w:rFonts w:cstheme="minorHAnsi"/>
        </w:rPr>
        <w:t xml:space="preserve"> and organisations</w:t>
      </w:r>
    </w:p>
    <w:p w:rsidR="00530B96" w:rsidRPr="00810624" w:rsidRDefault="00530B96" w:rsidP="00B14389">
      <w:pPr>
        <w:pStyle w:val="ListParagraph"/>
        <w:numPr>
          <w:ilvl w:val="0"/>
          <w:numId w:val="4"/>
        </w:numPr>
        <w:spacing w:after="160" w:line="259" w:lineRule="auto"/>
        <w:rPr>
          <w:rFonts w:cstheme="minorHAnsi"/>
        </w:rPr>
      </w:pPr>
      <w:r>
        <w:rPr>
          <w:rFonts w:cstheme="minorHAnsi"/>
        </w:rPr>
        <w:t>Federated Farmers and The Rural Support Trust</w:t>
      </w:r>
    </w:p>
    <w:p w:rsidR="00530B96" w:rsidRDefault="00530B96" w:rsidP="00B14389">
      <w:pPr>
        <w:pStyle w:val="ListParagraph"/>
        <w:numPr>
          <w:ilvl w:val="0"/>
          <w:numId w:val="4"/>
        </w:numPr>
        <w:spacing w:after="160" w:line="259" w:lineRule="auto"/>
        <w:rPr>
          <w:rFonts w:cstheme="minorHAnsi"/>
        </w:rPr>
      </w:pPr>
      <w:r>
        <w:rPr>
          <w:rFonts w:cstheme="minorHAnsi"/>
        </w:rPr>
        <w:t xml:space="preserve">Government Agencies, including MCDEM, EMBOP, Ministry for Primary Industries, </w:t>
      </w:r>
      <w:r w:rsidRPr="00810624">
        <w:rPr>
          <w:rFonts w:cstheme="minorHAnsi"/>
        </w:rPr>
        <w:t>Ministry of Social Development</w:t>
      </w:r>
      <w:r>
        <w:rPr>
          <w:rFonts w:cstheme="minorHAnsi"/>
        </w:rPr>
        <w:t xml:space="preserve">, </w:t>
      </w:r>
      <w:r w:rsidRPr="00D77B88">
        <w:rPr>
          <w:rFonts w:cstheme="minorHAnsi"/>
        </w:rPr>
        <w:t>The Bay of Plenty District Health Board</w:t>
      </w:r>
    </w:p>
    <w:p w:rsidR="00032ECE" w:rsidRPr="00032ECE" w:rsidRDefault="00530B96" w:rsidP="00B14389">
      <w:pPr>
        <w:pStyle w:val="ListParagraph"/>
        <w:numPr>
          <w:ilvl w:val="0"/>
          <w:numId w:val="4"/>
        </w:numPr>
        <w:spacing w:after="160" w:line="259" w:lineRule="auto"/>
        <w:rPr>
          <w:rFonts w:cstheme="minorHAnsi"/>
        </w:rPr>
      </w:pPr>
      <w:r w:rsidRPr="00810624">
        <w:rPr>
          <w:rFonts w:cstheme="minorHAnsi"/>
        </w:rPr>
        <w:t>A community group representing citizens from the wider Edgecumbe area</w:t>
      </w:r>
      <w:r>
        <w:rPr>
          <w:rFonts w:cstheme="minorHAnsi"/>
        </w:rPr>
        <w:t xml:space="preserve"> (Community Focus Group).</w:t>
      </w:r>
    </w:p>
    <w:p w:rsidR="00564ABC" w:rsidRPr="00A37DE4" w:rsidRDefault="00564ABC" w:rsidP="00564ABC">
      <w:r>
        <w:t>We</w:t>
      </w:r>
      <w:r w:rsidRPr="00A37DE4">
        <w:t xml:space="preserve"> acknowledge the key roles Iwi play as leaders in the </w:t>
      </w:r>
      <w:r>
        <w:t>Whakatāne District.  The Recovery Team is</w:t>
      </w:r>
      <w:r w:rsidRPr="00A37DE4">
        <w:t xml:space="preserve"> aware that Iwi are unique in terms of how each Authority operate</w:t>
      </w:r>
      <w:r>
        <w:t>s in its rohe, and</w:t>
      </w:r>
      <w:r w:rsidRPr="00A37DE4">
        <w:t xml:space="preserve"> the tikanga (practice</w:t>
      </w:r>
      <w:r w:rsidR="00F07D82">
        <w:t>s and protocols) that underpin</w:t>
      </w:r>
      <w:r w:rsidRPr="00A37DE4">
        <w:t xml:space="preserve"> </w:t>
      </w:r>
      <w:r w:rsidR="00F07D82">
        <w:t>Te Ao Māori</w:t>
      </w:r>
      <w:r w:rsidRPr="00A37DE4">
        <w:t>.</w:t>
      </w:r>
      <w:r>
        <w:t xml:space="preserve">  The Recovery Team endeavours to understand</w:t>
      </w:r>
      <w:r w:rsidRPr="00A37DE4">
        <w:t xml:space="preserve"> </w:t>
      </w:r>
      <w:r>
        <w:t>these dynamics and to incorporate</w:t>
      </w:r>
      <w:r w:rsidRPr="00A37DE4">
        <w:t xml:space="preserve"> these views and perceptions into engagement with </w:t>
      </w:r>
      <w:r>
        <w:t xml:space="preserve">Iwi.  </w:t>
      </w:r>
      <w:r w:rsidRPr="00A37DE4">
        <w:t xml:space="preserve"> </w:t>
      </w:r>
      <w:r>
        <w:t>Our aim is</w:t>
      </w:r>
      <w:r w:rsidRPr="00A37DE4">
        <w:t xml:space="preserve"> to establish a positive working relationship that is both collaborative and mutually beneficial.</w:t>
      </w:r>
      <w:r>
        <w:t xml:space="preserve">  </w:t>
      </w:r>
    </w:p>
    <w:p w:rsidR="00BE1B46" w:rsidRPr="00EB2AE5" w:rsidRDefault="00BE1B46" w:rsidP="006D1150">
      <w:pPr>
        <w:rPr>
          <w:sz w:val="24"/>
          <w:szCs w:val="24"/>
        </w:rPr>
      </w:pPr>
    </w:p>
    <w:p w:rsidR="00032ECE" w:rsidRDefault="00032ECE" w:rsidP="00032ECE"/>
    <w:p w:rsidR="001D3E96" w:rsidRDefault="001D3E96">
      <w:pPr>
        <w:rPr>
          <w:rFonts w:ascii="Segoe UI Semibold" w:eastAsiaTheme="majorEastAsia" w:hAnsi="Segoe UI Semibold" w:cstheme="majorBidi"/>
          <w:b/>
          <w:bCs/>
          <w:color w:val="003882"/>
          <w:sz w:val="52"/>
          <w:szCs w:val="28"/>
        </w:rPr>
      </w:pPr>
      <w:r>
        <w:br w:type="page"/>
      </w:r>
    </w:p>
    <w:p w:rsidR="008125FB" w:rsidRPr="00901935" w:rsidRDefault="008125FB" w:rsidP="00A37DE4">
      <w:pPr>
        <w:pStyle w:val="Heading1"/>
        <w:rPr>
          <w:color w:val="1F497D" w:themeColor="text2"/>
        </w:rPr>
      </w:pPr>
      <w:r w:rsidRPr="00901935">
        <w:rPr>
          <w:color w:val="1F497D" w:themeColor="text2"/>
        </w:rPr>
        <w:lastRenderedPageBreak/>
        <w:t>A framework for recovery</w:t>
      </w:r>
      <w:bookmarkEnd w:id="2"/>
    </w:p>
    <w:p w:rsidR="008125FB" w:rsidRDefault="008125FB" w:rsidP="008125FB"/>
    <w:p w:rsidR="008125FB" w:rsidRDefault="008125FB" w:rsidP="008125FB">
      <w:r>
        <w:t>A framework</w:t>
      </w:r>
      <w:r w:rsidRPr="00080E28">
        <w:t xml:space="preserve"> </w:t>
      </w:r>
      <w:r>
        <w:t>is provided in the plan to</w:t>
      </w:r>
      <w:r w:rsidRPr="00080E28">
        <w:t xml:space="preserve"> enable the coordinated effort of actions and processes that need to be, or have been, put in place to manage the recovery </w:t>
      </w:r>
      <w:r>
        <w:t>process so far.</w:t>
      </w:r>
      <w:r w:rsidRPr="008F394F">
        <w:t xml:space="preserve"> </w:t>
      </w:r>
    </w:p>
    <w:p w:rsidR="008125FB" w:rsidRDefault="008125FB" w:rsidP="008125FB">
      <w:r>
        <w:t>Five environments, or</w:t>
      </w:r>
      <w:r w:rsidRPr="000E66D2">
        <w:t xml:space="preserve"> parts</w:t>
      </w:r>
      <w:r>
        <w:t xml:space="preserve"> to recovery, are identified in the Plan:</w:t>
      </w:r>
    </w:p>
    <w:p w:rsidR="008125FB" w:rsidRDefault="008125FB" w:rsidP="00122305">
      <w:pPr>
        <w:numPr>
          <w:ilvl w:val="0"/>
          <w:numId w:val="1"/>
        </w:numPr>
        <w:tabs>
          <w:tab w:val="left" w:pos="2127"/>
        </w:tabs>
        <w:spacing w:after="0"/>
        <w:ind w:left="360"/>
      </w:pPr>
      <w:r>
        <w:t xml:space="preserve">Community </w:t>
      </w:r>
      <w:r w:rsidR="00122305">
        <w:tab/>
      </w:r>
      <w:r w:rsidRPr="000E5C79">
        <w:rPr>
          <w:i/>
        </w:rPr>
        <w:t>T</w:t>
      </w:r>
      <w:r w:rsidRPr="000E5C79">
        <w:rPr>
          <w:i/>
          <w:iCs/>
        </w:rPr>
        <w:t>ū</w:t>
      </w:r>
      <w:r w:rsidRPr="000E5C79">
        <w:rPr>
          <w:i/>
        </w:rPr>
        <w:t>hononga</w:t>
      </w:r>
      <w:r w:rsidR="00122305">
        <w:tab/>
      </w:r>
      <w:r w:rsidR="00122305">
        <w:tab/>
      </w:r>
      <w:r>
        <w:t>Reconnecting our communities</w:t>
      </w:r>
    </w:p>
    <w:p w:rsidR="008125FB" w:rsidRDefault="008125FB" w:rsidP="008125FB">
      <w:pPr>
        <w:numPr>
          <w:ilvl w:val="0"/>
          <w:numId w:val="1"/>
        </w:numPr>
        <w:spacing w:after="0"/>
        <w:ind w:left="360"/>
      </w:pPr>
      <w:r>
        <w:t>Natural / Rural</w:t>
      </w:r>
      <w:r w:rsidR="00122305">
        <w:tab/>
      </w:r>
      <w:r w:rsidR="00901935">
        <w:rPr>
          <w:i/>
        </w:rPr>
        <w:t>Whakaho</w:t>
      </w:r>
      <w:r w:rsidRPr="000E5C79">
        <w:rPr>
          <w:i/>
        </w:rPr>
        <w:t>u</w:t>
      </w:r>
      <w:r w:rsidR="00122305">
        <w:tab/>
      </w:r>
      <w:r w:rsidR="00122305">
        <w:tab/>
      </w:r>
      <w:r>
        <w:t>Restoring the natural and rural environment</w:t>
      </w:r>
    </w:p>
    <w:p w:rsidR="008125FB" w:rsidRDefault="008125FB" w:rsidP="008125FB">
      <w:pPr>
        <w:numPr>
          <w:ilvl w:val="0"/>
          <w:numId w:val="1"/>
        </w:numPr>
        <w:spacing w:after="0"/>
        <w:ind w:left="360"/>
      </w:pPr>
      <w:r>
        <w:t xml:space="preserve">Built </w:t>
      </w:r>
      <w:r>
        <w:tab/>
      </w:r>
      <w:r>
        <w:tab/>
      </w:r>
      <w:r w:rsidRPr="000E5C79">
        <w:rPr>
          <w:i/>
        </w:rPr>
        <w:t>Waihanga</w:t>
      </w:r>
      <w:r w:rsidR="00122305">
        <w:tab/>
      </w:r>
      <w:r w:rsidR="00122305">
        <w:tab/>
      </w:r>
      <w:r>
        <w:t>Repairing our homes and restoring our s</w:t>
      </w:r>
      <w:r w:rsidR="00122305">
        <w:t>ervices</w:t>
      </w:r>
    </w:p>
    <w:p w:rsidR="008125FB" w:rsidRDefault="008125FB" w:rsidP="008125FB">
      <w:pPr>
        <w:numPr>
          <w:ilvl w:val="0"/>
          <w:numId w:val="1"/>
        </w:numPr>
        <w:spacing w:after="0"/>
        <w:ind w:left="360"/>
      </w:pPr>
      <w:r>
        <w:t xml:space="preserve">Economic </w:t>
      </w:r>
      <w:r>
        <w:tab/>
      </w:r>
      <w:r>
        <w:tab/>
      </w:r>
      <w:r w:rsidRPr="000E5C79">
        <w:rPr>
          <w:i/>
        </w:rPr>
        <w:t>Whakatipu</w:t>
      </w:r>
      <w:r w:rsidR="00122305">
        <w:tab/>
      </w:r>
      <w:r w:rsidR="00122305">
        <w:tab/>
      </w:r>
      <w:r>
        <w:t>Regenerating the economy</w:t>
      </w:r>
    </w:p>
    <w:p w:rsidR="008125FB" w:rsidRDefault="00122305" w:rsidP="008125FB">
      <w:pPr>
        <w:numPr>
          <w:ilvl w:val="0"/>
          <w:numId w:val="1"/>
        </w:numPr>
        <w:spacing w:after="0"/>
        <w:ind w:left="360"/>
      </w:pPr>
      <w:r>
        <w:t>Partnerships</w:t>
      </w:r>
      <w:r>
        <w:tab/>
      </w:r>
      <w:r w:rsidR="008D25FA">
        <w:rPr>
          <w:i/>
        </w:rPr>
        <w:t>Mahi T</w:t>
      </w:r>
      <w:r w:rsidR="008125FB" w:rsidRPr="000E5C79">
        <w:rPr>
          <w:i/>
        </w:rPr>
        <w:t>ahi</w:t>
      </w:r>
      <w:r>
        <w:tab/>
      </w:r>
      <w:r>
        <w:tab/>
      </w:r>
      <w:r w:rsidR="008125FB">
        <w:t>Working with</w:t>
      </w:r>
      <w:r w:rsidR="00A37DE4">
        <w:t xml:space="preserve"> the</w:t>
      </w:r>
      <w:r w:rsidR="008125FB">
        <w:t xml:space="preserve"> </w:t>
      </w:r>
      <w:r w:rsidR="00A37DE4">
        <w:t>community</w:t>
      </w:r>
      <w:r w:rsidR="008125FB">
        <w:t xml:space="preserve"> in partnership</w:t>
      </w:r>
    </w:p>
    <w:p w:rsidR="008125FB" w:rsidRDefault="008125FB" w:rsidP="008125FB">
      <w:pPr>
        <w:spacing w:after="0"/>
        <w:ind w:left="567"/>
      </w:pPr>
    </w:p>
    <w:p w:rsidR="008125FB" w:rsidRPr="001D3E96" w:rsidRDefault="008125FB" w:rsidP="001D3E96">
      <w:r w:rsidRPr="000E66D2">
        <w:t>To be successful</w:t>
      </w:r>
      <w:r>
        <w:t>,</w:t>
      </w:r>
      <w:r w:rsidRPr="000E66D2">
        <w:t xml:space="preserve"> all parts must be developed together with </w:t>
      </w:r>
      <w:r>
        <w:t xml:space="preserve">the community always at the centre and Partnerships </w:t>
      </w:r>
      <w:r w:rsidR="00032ECE">
        <w:t>interwoven throughout</w:t>
      </w:r>
      <w:r>
        <w:t>. It should be noted that there are many lin</w:t>
      </w:r>
      <w:r w:rsidR="00032ECE">
        <w:t xml:space="preserve">kages between each environment, and that working in partnership with the community is interwoven throughout the other strands of the Recovery Framework.  </w:t>
      </w:r>
      <w:r w:rsidRPr="00080E28">
        <w:t>Together, they all contribute to t</w:t>
      </w:r>
      <w:r>
        <w:t>he strategic recovery goal – to restore and create opportunities to enhance our community wellbeing</w:t>
      </w:r>
      <w:r w:rsidRPr="00080E28">
        <w:t>.</w:t>
      </w:r>
      <w:r>
        <w:t xml:space="preserve"> </w:t>
      </w:r>
    </w:p>
    <w:tbl>
      <w:tblPr>
        <w:tblStyle w:val="TableGrid"/>
        <w:tblW w:w="9259" w:type="dxa"/>
        <w:tblBorders>
          <w:bottom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259"/>
      </w:tblGrid>
      <w:tr w:rsidR="008125FB" w:rsidTr="00901935">
        <w:trPr>
          <w:trHeight w:val="575"/>
        </w:trPr>
        <w:tc>
          <w:tcPr>
            <w:tcW w:w="9259" w:type="dxa"/>
            <w:shd w:val="clear" w:color="auto" w:fill="1F497D" w:themeFill="text2"/>
            <w:vAlign w:val="center"/>
          </w:tcPr>
          <w:p w:rsidR="008125FB" w:rsidRPr="00A63DA6" w:rsidRDefault="008125FB" w:rsidP="00B6288C">
            <w:pPr>
              <w:rPr>
                <w:b/>
              </w:rPr>
            </w:pPr>
            <w:r w:rsidRPr="00901935">
              <w:rPr>
                <w:b/>
                <w:color w:val="FFFFFF" w:themeColor="background1"/>
              </w:rPr>
              <w:t>GOAL:  To restore and create opportunities to enhance our community wellbeing.</w:t>
            </w:r>
          </w:p>
        </w:tc>
      </w:tr>
    </w:tbl>
    <w:p w:rsidR="008125FB" w:rsidRPr="0084075C" w:rsidRDefault="008125FB" w:rsidP="00901935">
      <w:pPr>
        <w:jc w:val="center"/>
        <w:rPr>
          <w:b/>
          <w:color w:val="1F497D" w:themeColor="text2"/>
        </w:rPr>
      </w:pPr>
      <w:r w:rsidRPr="00080E28">
        <w:rPr>
          <w:noProof/>
          <w:lang w:eastAsia="en-NZ"/>
        </w:rPr>
        <mc:AlternateContent>
          <mc:Choice Requires="wps">
            <w:drawing>
              <wp:anchor distT="0" distB="0" distL="114300" distR="114300" simplePos="0" relativeHeight="251657216" behindDoc="0" locked="0" layoutInCell="1" allowOverlap="1" wp14:anchorId="449C8A3E" wp14:editId="44704F47">
                <wp:simplePos x="0" y="0"/>
                <wp:positionH relativeFrom="column">
                  <wp:posOffset>993278</wp:posOffset>
                </wp:positionH>
                <wp:positionV relativeFrom="paragraph">
                  <wp:posOffset>1527810</wp:posOffset>
                </wp:positionV>
                <wp:extent cx="3634740" cy="3225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63474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1A18" w:rsidRPr="00662485" w:rsidRDefault="00F71A18" w:rsidP="008125FB">
                            <w:pPr>
                              <w:jc w:val="center"/>
                              <w:rPr>
                                <w:b/>
                                <w:i/>
                                <w:color w:val="1F497D" w:themeColor="text2"/>
                              </w:rPr>
                            </w:pPr>
                            <w:r w:rsidRPr="00662485">
                              <w:rPr>
                                <w:b/>
                                <w:color w:val="1F497D" w:themeColor="text2"/>
                              </w:rPr>
                              <w:t>Working in partner</w:t>
                            </w:r>
                            <w:r>
                              <w:rPr>
                                <w:b/>
                                <w:color w:val="1F497D" w:themeColor="text2"/>
                              </w:rPr>
                              <w:t xml:space="preserve">ship with the community  </w:t>
                            </w:r>
                            <w:r w:rsidRPr="00662485">
                              <w:rPr>
                                <w:b/>
                                <w:color w:val="1F497D" w:themeColor="text2"/>
                              </w:rPr>
                              <w:t xml:space="preserve"> </w:t>
                            </w:r>
                            <w:r w:rsidRPr="00662485">
                              <w:rPr>
                                <w:b/>
                                <w:i/>
                                <w:color w:val="1F497D" w:themeColor="text2"/>
                              </w:rPr>
                              <w:t xml:space="preserve">Mahi </w:t>
                            </w:r>
                            <w:r w:rsidR="008D25FA">
                              <w:rPr>
                                <w:b/>
                                <w:i/>
                                <w:color w:val="1F497D" w:themeColor="text2"/>
                              </w:rPr>
                              <w:t>Tahi</w:t>
                            </w:r>
                          </w:p>
                          <w:p w:rsidR="00F71A18" w:rsidRDefault="00F71A18" w:rsidP="0081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8A3E" id="_x0000_t202" coordsize="21600,21600" o:spt="202" path="m,l,21600r21600,l21600,xe">
                <v:stroke joinstyle="miter"/>
                <v:path gradientshapeok="t" o:connecttype="rect"/>
              </v:shapetype>
              <v:shape id="Text Box 1" o:spid="_x0000_s1026" type="#_x0000_t202" style="position:absolute;left:0;text-align:left;margin-left:78.2pt;margin-top:120.3pt;width:286.2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" filled="f" stroked="f" strokeweight=".5pt">
                <v:textbox>
                  <w:txbxContent>
                    <w:p w:rsidR="00F71A18" w:rsidRPr="00662485" w:rsidRDefault="00F71A18" w:rsidP="008125FB">
                      <w:pPr>
                        <w:jc w:val="center"/>
                        <w:rPr>
                          <w:b/>
                          <w:i/>
                          <w:color w:val="1F497D" w:themeColor="text2"/>
                        </w:rPr>
                      </w:pPr>
                      <w:r w:rsidRPr="00662485">
                        <w:rPr>
                          <w:b/>
                          <w:color w:val="1F497D" w:themeColor="text2"/>
                        </w:rPr>
                        <w:t>Working in partner</w:t>
                      </w:r>
                      <w:r>
                        <w:rPr>
                          <w:b/>
                          <w:color w:val="1F497D" w:themeColor="text2"/>
                        </w:rPr>
                        <w:t xml:space="preserve">ship with the community  </w:t>
                      </w:r>
                      <w:r w:rsidRPr="00662485">
                        <w:rPr>
                          <w:b/>
                          <w:color w:val="1F497D" w:themeColor="text2"/>
                        </w:rPr>
                        <w:t xml:space="preserve"> </w:t>
                      </w:r>
                      <w:r w:rsidRPr="00662485">
                        <w:rPr>
                          <w:b/>
                          <w:i/>
                          <w:color w:val="1F497D" w:themeColor="text2"/>
                        </w:rPr>
                        <w:t xml:space="preserve">Mahi </w:t>
                      </w:r>
                      <w:proofErr w:type="spellStart"/>
                      <w:r w:rsidR="008D25FA">
                        <w:rPr>
                          <w:b/>
                          <w:i/>
                          <w:color w:val="1F497D" w:themeColor="text2"/>
                        </w:rPr>
                        <w:t>Tahi</w:t>
                      </w:r>
                      <w:proofErr w:type="spellEnd"/>
                    </w:p>
                    <w:p w:rsidR="00F71A18" w:rsidRDefault="00F71A18" w:rsidP="008125FB"/>
                  </w:txbxContent>
                </v:textbox>
              </v:shape>
            </w:pict>
          </mc:Fallback>
        </mc:AlternateContent>
      </w:r>
      <w:r w:rsidRPr="00080E28">
        <w:rPr>
          <w:noProof/>
          <w:lang w:eastAsia="en-NZ"/>
        </w:rPr>
        <w:drawing>
          <wp:inline distT="0" distB="0" distL="0" distR="0" wp14:anchorId="239E4012" wp14:editId="090CADE3">
            <wp:extent cx="4275667" cy="1888067"/>
            <wp:effectExtent l="57150" t="38100" r="48895" b="742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br/>
      </w:r>
    </w:p>
    <w:p w:rsidR="00BE1B46" w:rsidRPr="00122305" w:rsidRDefault="00032ECE" w:rsidP="00BE1B46">
      <w:r>
        <w:t>C</w:t>
      </w:r>
      <w:r w:rsidR="00BE1B46" w:rsidRPr="00122305">
        <w:t xml:space="preserve">ommunity partnerships </w:t>
      </w:r>
      <w:r>
        <w:t xml:space="preserve">and Iwi partnerships therefore have a significant influence </w:t>
      </w:r>
      <w:r w:rsidR="00BE1B46" w:rsidRPr="00122305">
        <w:t xml:space="preserve">on the Recovery </w:t>
      </w:r>
      <w:r>
        <w:t xml:space="preserve">Project.  It is vital that </w:t>
      </w:r>
      <w:r w:rsidR="00BE1B46" w:rsidRPr="00122305">
        <w:t>these relationships</w:t>
      </w:r>
      <w:r>
        <w:t xml:space="preserve"> are</w:t>
      </w:r>
      <w:r w:rsidR="00BE1B46" w:rsidRPr="00122305">
        <w:t xml:space="preserve"> formulated </w:t>
      </w:r>
      <w:r>
        <w:t>and</w:t>
      </w:r>
      <w:r w:rsidRPr="00122305">
        <w:t xml:space="preserve"> maintained </w:t>
      </w:r>
      <w:r>
        <w:t>in</w:t>
      </w:r>
      <w:r w:rsidR="00BE1B46" w:rsidRPr="00122305">
        <w:t xml:space="preserve"> all aspects of the overall project. </w:t>
      </w:r>
    </w:p>
    <w:p w:rsidR="001D3E96" w:rsidRDefault="001D3E96">
      <w:pPr>
        <w:rPr>
          <w:rFonts w:eastAsiaTheme="majorEastAsia" w:cstheme="majorBidi"/>
          <w:b/>
          <w:bCs/>
          <w:color w:val="17365D" w:themeColor="text2" w:themeShade="BF"/>
          <w:sz w:val="26"/>
          <w:szCs w:val="26"/>
        </w:rPr>
      </w:pPr>
      <w:r>
        <w:br w:type="page"/>
      </w:r>
    </w:p>
    <w:p w:rsidR="001844D5" w:rsidRPr="00901935" w:rsidRDefault="001D3E96" w:rsidP="000F64ED">
      <w:pPr>
        <w:pStyle w:val="Heading2"/>
        <w:rPr>
          <w:color w:val="1F497D" w:themeColor="text2"/>
        </w:rPr>
      </w:pPr>
      <w:r w:rsidRPr="00901935">
        <w:rPr>
          <w:color w:val="1F497D" w:themeColor="text2"/>
        </w:rPr>
        <w:lastRenderedPageBreak/>
        <w:t>O</w:t>
      </w:r>
      <w:r w:rsidR="001844D5" w:rsidRPr="00901935">
        <w:rPr>
          <w:color w:val="1F497D" w:themeColor="text2"/>
        </w:rPr>
        <w:t>bjectives and outcomes</w:t>
      </w:r>
    </w:p>
    <w:p w:rsidR="001844D5" w:rsidRPr="001844D5" w:rsidRDefault="001844D5" w:rsidP="00E30C31">
      <w:r>
        <w:t>Each of the five environments has objectives and outcomes, as outlined in the table below:</w:t>
      </w:r>
    </w:p>
    <w:tbl>
      <w:tblPr>
        <w:tblStyle w:val="TableGrid"/>
        <w:tblW w:w="5108" w:type="pct"/>
        <w:jc w:val="center"/>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ook w:val="04A0" w:firstRow="1" w:lastRow="0" w:firstColumn="1" w:lastColumn="0" w:noHBand="0" w:noVBand="1"/>
      </w:tblPr>
      <w:tblGrid>
        <w:gridCol w:w="1642"/>
        <w:gridCol w:w="7573"/>
      </w:tblGrid>
      <w:tr w:rsidR="00901935" w:rsidRPr="00901935" w:rsidTr="00901935">
        <w:trPr>
          <w:trHeight w:val="3226"/>
          <w:jc w:val="center"/>
        </w:trPr>
        <w:tc>
          <w:tcPr>
            <w:tcW w:w="891" w:type="pct"/>
            <w:vAlign w:val="center"/>
          </w:tcPr>
          <w:p w:rsidR="008125FB" w:rsidRPr="00901935" w:rsidRDefault="008125FB" w:rsidP="00B6288C">
            <w:pPr>
              <w:jc w:val="center"/>
              <w:rPr>
                <w:color w:val="1F497D" w:themeColor="text2"/>
                <w:sz w:val="20"/>
                <w:szCs w:val="20"/>
              </w:rPr>
            </w:pPr>
            <w:r w:rsidRPr="00901935">
              <w:rPr>
                <w:noProof/>
                <w:color w:val="1F497D" w:themeColor="text2"/>
                <w:sz w:val="20"/>
                <w:szCs w:val="20"/>
                <w:lang w:eastAsia="en-NZ"/>
              </w:rPr>
              <w:drawing>
                <wp:inline distT="0" distB="0" distL="0" distR="0" wp14:anchorId="0415566B" wp14:editId="41A0F601">
                  <wp:extent cx="746760" cy="746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community-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4497" cy="744497"/>
                          </a:xfrm>
                          <a:prstGeom prst="rect">
                            <a:avLst/>
                          </a:prstGeom>
                        </pic:spPr>
                      </pic:pic>
                    </a:graphicData>
                  </a:graphic>
                </wp:inline>
              </w:drawing>
            </w:r>
          </w:p>
          <w:p w:rsidR="008125FB" w:rsidRPr="00901935" w:rsidRDefault="008125FB" w:rsidP="00B6288C">
            <w:pPr>
              <w:jc w:val="center"/>
              <w:rPr>
                <w:b/>
                <w:color w:val="1F497D" w:themeColor="text2"/>
                <w:sz w:val="20"/>
                <w:szCs w:val="20"/>
              </w:rPr>
            </w:pPr>
            <w:r w:rsidRPr="00901935">
              <w:rPr>
                <w:b/>
                <w:color w:val="1F497D" w:themeColor="text2"/>
                <w:sz w:val="20"/>
                <w:szCs w:val="20"/>
              </w:rPr>
              <w:br/>
              <w:t xml:space="preserve">Reconnect </w:t>
            </w:r>
            <w:r w:rsidRPr="00901935">
              <w:rPr>
                <w:b/>
                <w:color w:val="1F497D" w:themeColor="text2"/>
                <w:sz w:val="20"/>
                <w:szCs w:val="20"/>
              </w:rPr>
              <w:br/>
            </w:r>
            <w:r w:rsidRPr="00901935">
              <w:rPr>
                <w:b/>
                <w:i/>
                <w:iCs/>
                <w:color w:val="1F497D" w:themeColor="text2"/>
                <w:sz w:val="20"/>
                <w:szCs w:val="20"/>
              </w:rPr>
              <w:t>Tūhononga</w:t>
            </w:r>
          </w:p>
          <w:p w:rsidR="008125FB" w:rsidRPr="00901935" w:rsidRDefault="008125FB" w:rsidP="00B6288C">
            <w:pPr>
              <w:jc w:val="center"/>
              <w:rPr>
                <w:color w:val="1F497D" w:themeColor="text2"/>
                <w:sz w:val="20"/>
                <w:szCs w:val="20"/>
              </w:rPr>
            </w:pPr>
          </w:p>
        </w:tc>
        <w:tc>
          <w:tcPr>
            <w:tcW w:w="4109" w:type="pct"/>
          </w:tcPr>
          <w:p w:rsidR="008125FB" w:rsidRPr="00901935" w:rsidRDefault="008125FB" w:rsidP="000F64ED">
            <w:pPr>
              <w:pStyle w:val="Heading2"/>
              <w:outlineLvl w:val="1"/>
              <w:rPr>
                <w:color w:val="1F497D" w:themeColor="text2"/>
              </w:rPr>
            </w:pPr>
            <w:r w:rsidRPr="00901935">
              <w:rPr>
                <w:color w:val="1F497D" w:themeColor="text2"/>
              </w:rPr>
              <w:t>RECONNECTING OUR COMMUNITY</w:t>
            </w:r>
          </w:p>
          <w:p w:rsidR="008125FB" w:rsidRPr="00901935" w:rsidRDefault="008125FB" w:rsidP="00B6288C">
            <w:pPr>
              <w:rPr>
                <w:color w:val="1F497D" w:themeColor="text2"/>
                <w:sz w:val="20"/>
                <w:szCs w:val="20"/>
              </w:rPr>
            </w:pPr>
          </w:p>
          <w:p w:rsidR="008125FB" w:rsidRPr="00901935" w:rsidRDefault="008125FB" w:rsidP="00B6288C">
            <w:pPr>
              <w:rPr>
                <w:b/>
                <w:i/>
                <w:color w:val="1F497D" w:themeColor="text2"/>
                <w:sz w:val="20"/>
                <w:szCs w:val="20"/>
              </w:rPr>
            </w:pPr>
            <w:r w:rsidRPr="00901935">
              <w:rPr>
                <w:b/>
                <w:i/>
                <w:color w:val="1F497D" w:themeColor="text2"/>
                <w:sz w:val="20"/>
                <w:szCs w:val="20"/>
              </w:rPr>
              <w:t>Communities that have been adversely affected by flooding are restored to what they were previously, and where possible, enhanced.</w:t>
            </w:r>
          </w:p>
          <w:p w:rsidR="008125FB" w:rsidRPr="00901935" w:rsidRDefault="008125FB" w:rsidP="00B6288C">
            <w:pPr>
              <w:rPr>
                <w:color w:val="1F497D"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5353"/>
            </w:tblGrid>
            <w:tr w:rsidR="00901935" w:rsidRPr="00901935" w:rsidTr="00B6288C">
              <w:tc>
                <w:tcPr>
                  <w:tcW w:w="2518" w:type="dxa"/>
                </w:tcPr>
                <w:p w:rsidR="008125FB" w:rsidRPr="00901935" w:rsidRDefault="008125FB" w:rsidP="00E30C31">
                  <w:pPr>
                    <w:rPr>
                      <w:b/>
                      <w:color w:val="1F497D" w:themeColor="text2"/>
                      <w:sz w:val="20"/>
                      <w:szCs w:val="20"/>
                    </w:rPr>
                  </w:pPr>
                  <w:r w:rsidRPr="00901935">
                    <w:rPr>
                      <w:b/>
                      <w:color w:val="1F497D" w:themeColor="text2"/>
                      <w:sz w:val="20"/>
                      <w:szCs w:val="20"/>
                    </w:rPr>
                    <w:t>Welfare and Wellbeing</w:t>
                  </w:r>
                </w:p>
                <w:p w:rsidR="008125FB" w:rsidRPr="00901935" w:rsidRDefault="008125FB" w:rsidP="00E30C31">
                  <w:pPr>
                    <w:rPr>
                      <w:b/>
                      <w:color w:val="1F497D" w:themeColor="text2"/>
                      <w:sz w:val="20"/>
                      <w:szCs w:val="20"/>
                    </w:rPr>
                  </w:pPr>
                </w:p>
                <w:p w:rsidR="00E30C31" w:rsidRPr="00901935" w:rsidRDefault="00E30C31" w:rsidP="00E30C31">
                  <w:pPr>
                    <w:rPr>
                      <w:b/>
                      <w:color w:val="1F497D" w:themeColor="text2"/>
                      <w:sz w:val="20"/>
                      <w:szCs w:val="20"/>
                    </w:rPr>
                  </w:pPr>
                </w:p>
                <w:p w:rsidR="008125FB" w:rsidRPr="00901935" w:rsidRDefault="008125FB" w:rsidP="00E30C31">
                  <w:pPr>
                    <w:rPr>
                      <w:b/>
                      <w:color w:val="1F497D" w:themeColor="text2"/>
                      <w:sz w:val="20"/>
                      <w:szCs w:val="20"/>
                    </w:rPr>
                  </w:pPr>
                  <w:r w:rsidRPr="00901935">
                    <w:rPr>
                      <w:b/>
                      <w:color w:val="1F497D" w:themeColor="text2"/>
                      <w:sz w:val="20"/>
                      <w:szCs w:val="20"/>
                    </w:rPr>
                    <w:t>Community</w:t>
                  </w:r>
                </w:p>
                <w:p w:rsidR="008125FB" w:rsidRPr="00901935" w:rsidRDefault="008125FB" w:rsidP="00E30C31">
                  <w:pPr>
                    <w:rPr>
                      <w:b/>
                      <w:color w:val="1F497D" w:themeColor="text2"/>
                      <w:sz w:val="20"/>
                      <w:szCs w:val="20"/>
                    </w:rPr>
                  </w:pPr>
                </w:p>
                <w:p w:rsidR="008125FB" w:rsidRPr="00901935" w:rsidRDefault="008125FB" w:rsidP="00E30C31">
                  <w:pPr>
                    <w:rPr>
                      <w:b/>
                      <w:color w:val="1F497D" w:themeColor="text2"/>
                      <w:sz w:val="20"/>
                      <w:szCs w:val="20"/>
                    </w:rPr>
                  </w:pPr>
                  <w:r w:rsidRPr="00901935">
                    <w:rPr>
                      <w:b/>
                      <w:color w:val="1F497D" w:themeColor="text2"/>
                      <w:sz w:val="20"/>
                      <w:szCs w:val="20"/>
                    </w:rPr>
                    <w:t>Home by Christmas</w:t>
                  </w:r>
                </w:p>
                <w:p w:rsidR="008125FB" w:rsidRPr="00901935" w:rsidRDefault="008125FB" w:rsidP="00E30C31">
                  <w:pPr>
                    <w:rPr>
                      <w:b/>
                      <w:color w:val="1F497D" w:themeColor="text2"/>
                      <w:sz w:val="20"/>
                      <w:szCs w:val="20"/>
                    </w:rPr>
                  </w:pPr>
                </w:p>
              </w:tc>
              <w:tc>
                <w:tcPr>
                  <w:tcW w:w="7762" w:type="dxa"/>
                </w:tcPr>
                <w:p w:rsidR="008125FB" w:rsidRPr="00901935" w:rsidRDefault="008125FB" w:rsidP="00E30C31">
                  <w:pPr>
                    <w:rPr>
                      <w:color w:val="1F497D" w:themeColor="text2"/>
                      <w:sz w:val="20"/>
                      <w:szCs w:val="20"/>
                    </w:rPr>
                  </w:pPr>
                  <w:r w:rsidRPr="00901935">
                    <w:rPr>
                      <w:color w:val="1F497D" w:themeColor="text2"/>
                      <w:sz w:val="20"/>
                      <w:szCs w:val="20"/>
                    </w:rPr>
                    <w:t>Essential needs of individuals and whānau are met, and community health &amp; wellbeing are supported.</w:t>
                  </w:r>
                </w:p>
                <w:p w:rsidR="00E30C31" w:rsidRPr="00901935" w:rsidRDefault="00E30C31" w:rsidP="00E30C31">
                  <w:pPr>
                    <w:rPr>
                      <w:color w:val="1F497D" w:themeColor="text2"/>
                      <w:sz w:val="20"/>
                      <w:szCs w:val="20"/>
                    </w:rPr>
                  </w:pPr>
                </w:p>
                <w:p w:rsidR="008125FB" w:rsidRPr="00901935" w:rsidRDefault="008125FB" w:rsidP="00E30C31">
                  <w:pPr>
                    <w:rPr>
                      <w:color w:val="1F497D" w:themeColor="text2"/>
                      <w:sz w:val="20"/>
                      <w:szCs w:val="20"/>
                    </w:rPr>
                  </w:pPr>
                  <w:r w:rsidRPr="00901935">
                    <w:rPr>
                      <w:color w:val="1F497D" w:themeColor="text2"/>
                      <w:sz w:val="20"/>
                      <w:szCs w:val="20"/>
                    </w:rPr>
                    <w:t>Community spirit, pride and resilience are strengthened.</w:t>
                  </w:r>
                </w:p>
                <w:p w:rsidR="008125FB" w:rsidRPr="00901935" w:rsidRDefault="008125FB" w:rsidP="00E30C31">
                  <w:pPr>
                    <w:rPr>
                      <w:color w:val="1F497D" w:themeColor="text2"/>
                      <w:sz w:val="20"/>
                      <w:szCs w:val="20"/>
                    </w:rPr>
                  </w:pPr>
                </w:p>
                <w:p w:rsidR="008125FB" w:rsidRPr="00901935" w:rsidRDefault="008125FB" w:rsidP="00E30C31">
                  <w:pPr>
                    <w:rPr>
                      <w:color w:val="1F497D" w:themeColor="text2"/>
                      <w:sz w:val="20"/>
                      <w:szCs w:val="20"/>
                    </w:rPr>
                  </w:pPr>
                  <w:r w:rsidRPr="00901935">
                    <w:rPr>
                      <w:color w:val="1F497D" w:themeColor="text2"/>
                      <w:sz w:val="20"/>
                      <w:szCs w:val="20"/>
                    </w:rPr>
                    <w:t>Families / whānau have moved back</w:t>
                  </w:r>
                  <w:r w:rsidR="001844D5" w:rsidRPr="00901935">
                    <w:rPr>
                      <w:color w:val="1F497D" w:themeColor="text2"/>
                      <w:sz w:val="20"/>
                      <w:szCs w:val="20"/>
                    </w:rPr>
                    <w:t xml:space="preserve"> into their homes by Christmas.</w:t>
                  </w:r>
                </w:p>
              </w:tc>
            </w:tr>
          </w:tbl>
          <w:p w:rsidR="008125FB" w:rsidRPr="00901935" w:rsidRDefault="008125FB" w:rsidP="00B6288C">
            <w:pPr>
              <w:rPr>
                <w:color w:val="1F497D" w:themeColor="text2"/>
                <w:sz w:val="20"/>
                <w:szCs w:val="20"/>
              </w:rPr>
            </w:pPr>
          </w:p>
        </w:tc>
      </w:tr>
      <w:tr w:rsidR="00901935" w:rsidRPr="00901935" w:rsidTr="00901935">
        <w:trPr>
          <w:trHeight w:val="3256"/>
          <w:jc w:val="center"/>
        </w:trPr>
        <w:tc>
          <w:tcPr>
            <w:tcW w:w="891" w:type="pct"/>
            <w:vAlign w:val="center"/>
          </w:tcPr>
          <w:p w:rsidR="008125FB" w:rsidRPr="00901935" w:rsidRDefault="008125FB" w:rsidP="00B6288C">
            <w:pPr>
              <w:jc w:val="center"/>
              <w:rPr>
                <w:color w:val="1F497D" w:themeColor="text2"/>
                <w:sz w:val="20"/>
                <w:szCs w:val="20"/>
              </w:rPr>
            </w:pPr>
          </w:p>
          <w:p w:rsidR="008125FB" w:rsidRPr="00901935" w:rsidRDefault="008125FB" w:rsidP="00B6288C">
            <w:pPr>
              <w:jc w:val="center"/>
              <w:rPr>
                <w:color w:val="1F497D" w:themeColor="text2"/>
                <w:sz w:val="20"/>
                <w:szCs w:val="20"/>
              </w:rPr>
            </w:pPr>
          </w:p>
          <w:p w:rsidR="008125FB" w:rsidRPr="00901935" w:rsidRDefault="008125FB" w:rsidP="00B6288C">
            <w:pPr>
              <w:jc w:val="center"/>
              <w:rPr>
                <w:color w:val="1F497D" w:themeColor="text2"/>
                <w:sz w:val="20"/>
                <w:szCs w:val="20"/>
              </w:rPr>
            </w:pPr>
            <w:r w:rsidRPr="00901935">
              <w:rPr>
                <w:noProof/>
                <w:color w:val="1F497D" w:themeColor="text2"/>
                <w:sz w:val="20"/>
                <w:szCs w:val="20"/>
                <w:lang w:eastAsia="en-NZ"/>
              </w:rPr>
              <w:drawing>
                <wp:inline distT="0" distB="0" distL="0" distR="0" wp14:anchorId="570A4FE0" wp14:editId="41A73152">
                  <wp:extent cx="822960" cy="82296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natural-rural-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0468" cy="820468"/>
                          </a:xfrm>
                          <a:prstGeom prst="rect">
                            <a:avLst/>
                          </a:prstGeom>
                        </pic:spPr>
                      </pic:pic>
                    </a:graphicData>
                  </a:graphic>
                </wp:inline>
              </w:drawing>
            </w:r>
          </w:p>
          <w:p w:rsidR="008125FB" w:rsidRPr="00901935" w:rsidRDefault="008125FB" w:rsidP="00B6288C">
            <w:pPr>
              <w:jc w:val="center"/>
              <w:rPr>
                <w:b/>
                <w:color w:val="1F497D" w:themeColor="text2"/>
                <w:sz w:val="20"/>
                <w:szCs w:val="20"/>
              </w:rPr>
            </w:pPr>
            <w:r w:rsidRPr="00901935">
              <w:rPr>
                <w:color w:val="1F497D" w:themeColor="text2"/>
                <w:sz w:val="20"/>
                <w:szCs w:val="20"/>
              </w:rPr>
              <w:br/>
            </w:r>
            <w:r w:rsidRPr="00901935">
              <w:rPr>
                <w:b/>
                <w:color w:val="1F497D" w:themeColor="text2"/>
                <w:sz w:val="20"/>
                <w:szCs w:val="20"/>
              </w:rPr>
              <w:t xml:space="preserve">Restore </w:t>
            </w:r>
            <w:r w:rsidRPr="00901935">
              <w:rPr>
                <w:b/>
                <w:color w:val="1F497D" w:themeColor="text2"/>
                <w:sz w:val="20"/>
                <w:szCs w:val="20"/>
              </w:rPr>
              <w:br/>
            </w:r>
            <w:r w:rsidRPr="00901935">
              <w:rPr>
                <w:b/>
                <w:i/>
                <w:iCs/>
                <w:color w:val="1F497D" w:themeColor="text2"/>
                <w:sz w:val="20"/>
                <w:szCs w:val="20"/>
              </w:rPr>
              <w:t>Whakahou</w:t>
            </w:r>
          </w:p>
          <w:p w:rsidR="008125FB" w:rsidRPr="00901935" w:rsidRDefault="008125FB" w:rsidP="00B6288C">
            <w:pPr>
              <w:jc w:val="center"/>
              <w:rPr>
                <w:color w:val="1F497D" w:themeColor="text2"/>
                <w:sz w:val="20"/>
                <w:szCs w:val="20"/>
              </w:rPr>
            </w:pPr>
          </w:p>
        </w:tc>
        <w:tc>
          <w:tcPr>
            <w:tcW w:w="4109" w:type="pct"/>
          </w:tcPr>
          <w:p w:rsidR="008125FB" w:rsidRPr="00901935" w:rsidRDefault="008125FB" w:rsidP="000F64ED">
            <w:pPr>
              <w:pStyle w:val="Heading2"/>
              <w:outlineLvl w:val="1"/>
              <w:rPr>
                <w:color w:val="1F497D" w:themeColor="text2"/>
              </w:rPr>
            </w:pPr>
            <w:r w:rsidRPr="00901935">
              <w:rPr>
                <w:color w:val="1F497D" w:themeColor="text2"/>
              </w:rPr>
              <w:t>RESTORING THE NATURAL AND RURAL ENVIRONMENT</w:t>
            </w:r>
          </w:p>
          <w:p w:rsidR="008125FB" w:rsidRPr="00901935" w:rsidRDefault="008125FB" w:rsidP="00B6288C">
            <w:pPr>
              <w:rPr>
                <w:color w:val="1F497D" w:themeColor="text2"/>
                <w:sz w:val="20"/>
                <w:szCs w:val="20"/>
                <w:highlight w:val="yellow"/>
              </w:rPr>
            </w:pPr>
          </w:p>
          <w:p w:rsidR="008125FB" w:rsidRPr="00901935" w:rsidRDefault="008125FB" w:rsidP="00B6288C">
            <w:pPr>
              <w:rPr>
                <w:b/>
                <w:i/>
                <w:color w:val="1F497D" w:themeColor="text2"/>
                <w:sz w:val="20"/>
                <w:szCs w:val="20"/>
              </w:rPr>
            </w:pPr>
            <w:r w:rsidRPr="00901935">
              <w:rPr>
                <w:b/>
                <w:i/>
                <w:color w:val="1F497D" w:themeColor="text2"/>
                <w:sz w:val="20"/>
                <w:szCs w:val="20"/>
              </w:rPr>
              <w:t xml:space="preserve">The natural environment is restored and enhanced, where possible, and the primary </w:t>
            </w:r>
            <w:r w:rsidRPr="00901935">
              <w:rPr>
                <w:b/>
                <w:i/>
                <w:color w:val="1F497D" w:themeColor="text2"/>
                <w:sz w:val="20"/>
                <w:szCs w:val="20"/>
              </w:rPr>
              <w:br/>
              <w:t>sector is fully functioning.</w:t>
            </w:r>
          </w:p>
          <w:p w:rsidR="008125FB" w:rsidRPr="00901935" w:rsidRDefault="008125FB" w:rsidP="00B6288C">
            <w:pPr>
              <w:rPr>
                <w:color w:val="1F497D" w:themeColor="text2"/>
                <w:sz w:val="20"/>
                <w:szCs w:val="20"/>
                <w:highlight w:val="yellow"/>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377"/>
            </w:tblGrid>
            <w:tr w:rsidR="00901935" w:rsidRPr="00901935" w:rsidTr="00E30C31">
              <w:tc>
                <w:tcPr>
                  <w:tcW w:w="2019" w:type="dxa"/>
                  <w:tcBorders>
                    <w:top w:val="nil"/>
                  </w:tcBorders>
                </w:tcPr>
                <w:p w:rsidR="008125FB" w:rsidRPr="00901935" w:rsidRDefault="008125FB" w:rsidP="00B6288C">
                  <w:pPr>
                    <w:rPr>
                      <w:b/>
                      <w:color w:val="1F497D" w:themeColor="text2"/>
                      <w:sz w:val="20"/>
                      <w:szCs w:val="20"/>
                    </w:rPr>
                  </w:pPr>
                  <w:r w:rsidRPr="00901935">
                    <w:rPr>
                      <w:rFonts w:cs="Times New Roman"/>
                      <w:b/>
                      <w:color w:val="1F497D" w:themeColor="text2"/>
                      <w:sz w:val="20"/>
                      <w:szCs w:val="20"/>
                    </w:rPr>
                    <w:t>Primary Sector Support</w:t>
                  </w:r>
                </w:p>
              </w:tc>
              <w:tc>
                <w:tcPr>
                  <w:tcW w:w="5641" w:type="dxa"/>
                  <w:tcBorders>
                    <w:top w:val="nil"/>
                  </w:tcBorders>
                  <w:vAlign w:val="center"/>
                </w:tcPr>
                <w:p w:rsidR="008125FB" w:rsidRPr="00901935" w:rsidRDefault="008125FB" w:rsidP="00B6288C">
                  <w:pPr>
                    <w:rPr>
                      <w:rFonts w:cs="Times New Roman"/>
                      <w:color w:val="1F497D" w:themeColor="text2"/>
                      <w:sz w:val="20"/>
                      <w:szCs w:val="20"/>
                    </w:rPr>
                  </w:pPr>
                  <w:r w:rsidRPr="00901935">
                    <w:rPr>
                      <w:rFonts w:cs="Times New Roman"/>
                      <w:color w:val="1F497D" w:themeColor="text2"/>
                      <w:sz w:val="20"/>
                      <w:szCs w:val="20"/>
                    </w:rPr>
                    <w:t>The primary sector is fully supported and functioning within a new normal.</w:t>
                  </w:r>
                </w:p>
                <w:p w:rsidR="008125FB" w:rsidRPr="00901935" w:rsidRDefault="008125FB" w:rsidP="00B6288C">
                  <w:pPr>
                    <w:rPr>
                      <w:color w:val="1F497D" w:themeColor="text2"/>
                      <w:sz w:val="20"/>
                      <w:szCs w:val="20"/>
                    </w:rPr>
                  </w:pPr>
                </w:p>
              </w:tc>
            </w:tr>
            <w:tr w:rsidR="00901935" w:rsidRPr="00901935" w:rsidTr="00E30C31">
              <w:trPr>
                <w:trHeight w:val="1024"/>
              </w:trPr>
              <w:tc>
                <w:tcPr>
                  <w:tcW w:w="2019" w:type="dxa"/>
                  <w:vAlign w:val="center"/>
                </w:tcPr>
                <w:p w:rsidR="008125FB" w:rsidRPr="00901935" w:rsidRDefault="008125FB" w:rsidP="00B6288C">
                  <w:pPr>
                    <w:rPr>
                      <w:rFonts w:cs="Times New Roman"/>
                      <w:b/>
                      <w:color w:val="1F497D" w:themeColor="text2"/>
                      <w:sz w:val="20"/>
                      <w:szCs w:val="20"/>
                    </w:rPr>
                  </w:pPr>
                  <w:r w:rsidRPr="00901935">
                    <w:rPr>
                      <w:rFonts w:cs="Times New Roman"/>
                      <w:b/>
                      <w:color w:val="1F497D" w:themeColor="text2"/>
                      <w:sz w:val="20"/>
                      <w:szCs w:val="20"/>
                    </w:rPr>
                    <w:t>Environmental Effects</w:t>
                  </w:r>
                  <w:r w:rsidRPr="00901935">
                    <w:rPr>
                      <w:rFonts w:cs="Times New Roman"/>
                      <w:b/>
                      <w:color w:val="1F497D" w:themeColor="text2"/>
                      <w:sz w:val="20"/>
                      <w:szCs w:val="20"/>
                    </w:rPr>
                    <w:br/>
                  </w:r>
                  <w:r w:rsidRPr="00901935">
                    <w:rPr>
                      <w:rFonts w:cs="Times New Roman"/>
                      <w:b/>
                      <w:color w:val="1F497D" w:themeColor="text2"/>
                      <w:sz w:val="20"/>
                      <w:szCs w:val="20"/>
                    </w:rPr>
                    <w:br/>
                  </w:r>
                  <w:r w:rsidRPr="00901935">
                    <w:rPr>
                      <w:rFonts w:cs="Times New Roman"/>
                      <w:b/>
                      <w:color w:val="1F497D" w:themeColor="text2"/>
                      <w:sz w:val="20"/>
                      <w:szCs w:val="20"/>
                    </w:rPr>
                    <w:br/>
                  </w:r>
                </w:p>
              </w:tc>
              <w:tc>
                <w:tcPr>
                  <w:tcW w:w="5641" w:type="dxa"/>
                  <w:vAlign w:val="center"/>
                </w:tcPr>
                <w:p w:rsidR="008125FB" w:rsidRPr="00901935" w:rsidRDefault="008125FB" w:rsidP="00B6288C">
                  <w:pPr>
                    <w:rPr>
                      <w:rFonts w:cs="Times New Roman"/>
                      <w:color w:val="1F497D" w:themeColor="text2"/>
                      <w:sz w:val="20"/>
                      <w:szCs w:val="20"/>
                    </w:rPr>
                  </w:pPr>
                  <w:r w:rsidRPr="00901935">
                    <w:rPr>
                      <w:rFonts w:cs="Times New Roman"/>
                      <w:color w:val="1F497D" w:themeColor="text2"/>
                      <w:sz w:val="20"/>
                      <w:szCs w:val="20"/>
                    </w:rPr>
                    <w:t>The impact of the flood and its recovery does not leave lasting negative environmental effect</w:t>
                  </w:r>
                  <w:r w:rsidR="001844D5" w:rsidRPr="00901935">
                    <w:rPr>
                      <w:rFonts w:cs="Times New Roman"/>
                      <w:color w:val="1F497D" w:themeColor="text2"/>
                      <w:sz w:val="20"/>
                      <w:szCs w:val="20"/>
                    </w:rPr>
                    <w:t>s on our land and in our water.</w:t>
                  </w:r>
                </w:p>
              </w:tc>
            </w:tr>
          </w:tbl>
          <w:p w:rsidR="008125FB" w:rsidRPr="00901935" w:rsidRDefault="008125FB" w:rsidP="00B6288C">
            <w:pPr>
              <w:rPr>
                <w:color w:val="1F497D" w:themeColor="text2"/>
                <w:sz w:val="20"/>
                <w:szCs w:val="20"/>
                <w:highlight w:val="yellow"/>
              </w:rPr>
            </w:pPr>
          </w:p>
        </w:tc>
      </w:tr>
      <w:tr w:rsidR="00901935" w:rsidRPr="00901935" w:rsidTr="00901935">
        <w:trPr>
          <w:trHeight w:val="2678"/>
          <w:jc w:val="center"/>
        </w:trPr>
        <w:tc>
          <w:tcPr>
            <w:tcW w:w="891" w:type="pct"/>
            <w:tcBorders>
              <w:bottom w:val="single" w:sz="2" w:space="0" w:color="B8CCE4" w:themeColor="accent1" w:themeTint="66"/>
            </w:tcBorders>
            <w:vAlign w:val="center"/>
          </w:tcPr>
          <w:p w:rsidR="008125FB" w:rsidRPr="00901935" w:rsidRDefault="008125FB" w:rsidP="00B6288C">
            <w:pPr>
              <w:jc w:val="center"/>
              <w:rPr>
                <w:color w:val="1F497D" w:themeColor="text2"/>
                <w:sz w:val="20"/>
                <w:szCs w:val="20"/>
              </w:rPr>
            </w:pPr>
          </w:p>
          <w:p w:rsidR="008125FB" w:rsidRPr="00901935" w:rsidRDefault="008125FB" w:rsidP="00B6288C">
            <w:pPr>
              <w:jc w:val="center"/>
              <w:rPr>
                <w:color w:val="1F497D" w:themeColor="text2"/>
                <w:sz w:val="20"/>
                <w:szCs w:val="20"/>
              </w:rPr>
            </w:pPr>
            <w:r w:rsidRPr="00901935">
              <w:rPr>
                <w:noProof/>
                <w:color w:val="1F497D" w:themeColor="text2"/>
                <w:sz w:val="20"/>
                <w:szCs w:val="20"/>
                <w:lang w:eastAsia="en-NZ"/>
              </w:rPr>
              <w:drawing>
                <wp:inline distT="0" distB="0" distL="0" distR="0" wp14:anchorId="461BF4AD" wp14:editId="39865B2D">
                  <wp:extent cx="807720" cy="80772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community-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5274" cy="805274"/>
                          </a:xfrm>
                          <a:prstGeom prst="rect">
                            <a:avLst/>
                          </a:prstGeom>
                        </pic:spPr>
                      </pic:pic>
                    </a:graphicData>
                  </a:graphic>
                </wp:inline>
              </w:drawing>
            </w:r>
          </w:p>
          <w:p w:rsidR="008125FB" w:rsidRPr="00901935" w:rsidRDefault="008125FB" w:rsidP="00B6288C">
            <w:pPr>
              <w:jc w:val="center"/>
              <w:rPr>
                <w:color w:val="1F497D" w:themeColor="text2"/>
                <w:sz w:val="20"/>
                <w:szCs w:val="20"/>
              </w:rPr>
            </w:pPr>
          </w:p>
          <w:p w:rsidR="008125FB" w:rsidRPr="00901935" w:rsidRDefault="008125FB" w:rsidP="00B6288C">
            <w:pPr>
              <w:jc w:val="center"/>
              <w:rPr>
                <w:b/>
                <w:color w:val="1F497D" w:themeColor="text2"/>
                <w:sz w:val="20"/>
                <w:szCs w:val="20"/>
              </w:rPr>
            </w:pPr>
            <w:r w:rsidRPr="00901935">
              <w:rPr>
                <w:b/>
                <w:color w:val="1F497D" w:themeColor="text2"/>
                <w:sz w:val="20"/>
                <w:szCs w:val="20"/>
              </w:rPr>
              <w:t xml:space="preserve">Rebuild </w:t>
            </w:r>
            <w:r w:rsidRPr="00901935">
              <w:rPr>
                <w:b/>
                <w:color w:val="1F497D" w:themeColor="text2"/>
                <w:sz w:val="20"/>
                <w:szCs w:val="20"/>
              </w:rPr>
              <w:br/>
            </w:r>
            <w:r w:rsidRPr="00901935">
              <w:rPr>
                <w:b/>
                <w:i/>
                <w:iCs/>
                <w:color w:val="1F497D" w:themeColor="text2"/>
                <w:sz w:val="20"/>
                <w:szCs w:val="20"/>
              </w:rPr>
              <w:t>Waihanga</w:t>
            </w:r>
          </w:p>
          <w:p w:rsidR="008125FB" w:rsidRPr="00901935" w:rsidRDefault="008125FB" w:rsidP="00B6288C">
            <w:pPr>
              <w:jc w:val="center"/>
              <w:rPr>
                <w:color w:val="1F497D" w:themeColor="text2"/>
                <w:sz w:val="20"/>
                <w:szCs w:val="20"/>
              </w:rPr>
            </w:pPr>
          </w:p>
        </w:tc>
        <w:tc>
          <w:tcPr>
            <w:tcW w:w="4109" w:type="pct"/>
            <w:tcBorders>
              <w:bottom w:val="single" w:sz="2" w:space="0" w:color="B8CCE4" w:themeColor="accent1" w:themeTint="66"/>
            </w:tcBorders>
          </w:tcPr>
          <w:p w:rsidR="008125FB" w:rsidRPr="00901935" w:rsidRDefault="008125FB" w:rsidP="000F64ED">
            <w:pPr>
              <w:pStyle w:val="Heading2"/>
              <w:outlineLvl w:val="1"/>
              <w:rPr>
                <w:color w:val="1F497D" w:themeColor="text2"/>
              </w:rPr>
            </w:pPr>
            <w:r w:rsidRPr="00901935">
              <w:rPr>
                <w:color w:val="1F497D" w:themeColor="text2"/>
              </w:rPr>
              <w:t>REPAIRING OUR HOMES AND RESTORING OUR COMMUNITIES</w:t>
            </w:r>
          </w:p>
          <w:p w:rsidR="008125FB" w:rsidRPr="00901935" w:rsidRDefault="008125FB" w:rsidP="00B6288C">
            <w:pPr>
              <w:rPr>
                <w:color w:val="1F497D" w:themeColor="text2"/>
                <w:sz w:val="20"/>
                <w:szCs w:val="20"/>
              </w:rPr>
            </w:pPr>
          </w:p>
          <w:p w:rsidR="008125FB" w:rsidRPr="00901935" w:rsidRDefault="008125FB" w:rsidP="00B6288C">
            <w:pPr>
              <w:rPr>
                <w:b/>
                <w:i/>
                <w:color w:val="1F497D" w:themeColor="text2"/>
                <w:sz w:val="20"/>
                <w:szCs w:val="20"/>
              </w:rPr>
            </w:pPr>
            <w:r w:rsidRPr="00901935">
              <w:rPr>
                <w:b/>
                <w:i/>
                <w:color w:val="1F497D" w:themeColor="text2"/>
                <w:sz w:val="20"/>
                <w:szCs w:val="20"/>
              </w:rPr>
              <w:t>Housing, infrastructure, facilities and services are repaired.</w:t>
            </w:r>
          </w:p>
          <w:p w:rsidR="008125FB" w:rsidRPr="00901935" w:rsidRDefault="008125FB" w:rsidP="00B6288C">
            <w:pPr>
              <w:rPr>
                <w:rFonts w:ascii="Calibri" w:eastAsiaTheme="minorEastAsia" w:hAnsi="Calibri"/>
                <w:b/>
                <w:bCs/>
                <w:i/>
                <w:iCs/>
                <w:color w:val="1F497D" w:themeColor="text2"/>
                <w:kern w:val="24"/>
                <w:sz w:val="20"/>
                <w:szCs w:val="20"/>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5380"/>
            </w:tblGrid>
            <w:tr w:rsidR="00901935" w:rsidRPr="00901935" w:rsidTr="00E30C31">
              <w:tc>
                <w:tcPr>
                  <w:tcW w:w="2019" w:type="dxa"/>
                  <w:tcBorders>
                    <w:top w:val="nil"/>
                  </w:tcBorders>
                </w:tcPr>
                <w:p w:rsidR="008125FB" w:rsidRPr="00901935" w:rsidRDefault="008125FB" w:rsidP="00B6288C">
                  <w:pPr>
                    <w:rPr>
                      <w:b/>
                      <w:color w:val="1F497D" w:themeColor="text2"/>
                      <w:sz w:val="20"/>
                      <w:szCs w:val="20"/>
                    </w:rPr>
                  </w:pPr>
                  <w:r w:rsidRPr="00901935">
                    <w:rPr>
                      <w:rFonts w:cs="Times New Roman"/>
                      <w:b/>
                      <w:color w:val="1F497D" w:themeColor="text2"/>
                      <w:sz w:val="20"/>
                      <w:szCs w:val="20"/>
                    </w:rPr>
                    <w:t>Housing</w:t>
                  </w:r>
                </w:p>
              </w:tc>
              <w:tc>
                <w:tcPr>
                  <w:tcW w:w="5641" w:type="dxa"/>
                  <w:tcBorders>
                    <w:top w:val="nil"/>
                  </w:tcBorders>
                  <w:vAlign w:val="center"/>
                </w:tcPr>
                <w:p w:rsidR="008125FB" w:rsidRPr="00901935" w:rsidRDefault="008125FB" w:rsidP="00B6288C">
                  <w:pPr>
                    <w:rPr>
                      <w:rFonts w:cs="Times New Roman"/>
                      <w:color w:val="1F497D" w:themeColor="text2"/>
                      <w:sz w:val="20"/>
                      <w:szCs w:val="20"/>
                    </w:rPr>
                  </w:pPr>
                  <w:r w:rsidRPr="00901935">
                    <w:rPr>
                      <w:rFonts w:cs="Times New Roman"/>
                      <w:color w:val="1F497D" w:themeColor="text2"/>
                      <w:sz w:val="20"/>
                      <w:szCs w:val="20"/>
                    </w:rPr>
                    <w:t xml:space="preserve">There is adequate housing supply and damaged homes </w:t>
                  </w:r>
                  <w:r w:rsidRPr="00901935">
                    <w:rPr>
                      <w:rFonts w:cs="Times New Roman"/>
                      <w:color w:val="1F497D" w:themeColor="text2"/>
                      <w:sz w:val="20"/>
                      <w:szCs w:val="20"/>
                    </w:rPr>
                    <w:br/>
                    <w:t>are repaired to a liveable standard.</w:t>
                  </w:r>
                </w:p>
                <w:p w:rsidR="008125FB" w:rsidRPr="00901935" w:rsidRDefault="008125FB" w:rsidP="00B6288C">
                  <w:pPr>
                    <w:rPr>
                      <w:color w:val="1F497D" w:themeColor="text2"/>
                      <w:sz w:val="20"/>
                      <w:szCs w:val="20"/>
                    </w:rPr>
                  </w:pPr>
                </w:p>
              </w:tc>
            </w:tr>
            <w:tr w:rsidR="00901935" w:rsidRPr="00901935" w:rsidTr="00E30C31">
              <w:tc>
                <w:tcPr>
                  <w:tcW w:w="2019" w:type="dxa"/>
                </w:tcPr>
                <w:p w:rsidR="008125FB" w:rsidRPr="00901935" w:rsidRDefault="008125FB" w:rsidP="00B6288C">
                  <w:pPr>
                    <w:rPr>
                      <w:rFonts w:cs="Times New Roman"/>
                      <w:b/>
                      <w:color w:val="1F497D" w:themeColor="text2"/>
                      <w:sz w:val="20"/>
                      <w:szCs w:val="20"/>
                    </w:rPr>
                  </w:pPr>
                  <w:r w:rsidRPr="00901935">
                    <w:rPr>
                      <w:rFonts w:cs="Times New Roman"/>
                      <w:b/>
                      <w:color w:val="1F497D" w:themeColor="text2"/>
                      <w:sz w:val="20"/>
                      <w:szCs w:val="20"/>
                    </w:rPr>
                    <w:t>Infrastructure</w:t>
                  </w:r>
                </w:p>
              </w:tc>
              <w:tc>
                <w:tcPr>
                  <w:tcW w:w="5641" w:type="dxa"/>
                  <w:vAlign w:val="center"/>
                </w:tcPr>
                <w:p w:rsidR="008125FB" w:rsidRDefault="008125FB" w:rsidP="00B6288C">
                  <w:pPr>
                    <w:rPr>
                      <w:color w:val="1F497D" w:themeColor="text2"/>
                      <w:sz w:val="20"/>
                      <w:szCs w:val="20"/>
                    </w:rPr>
                  </w:pPr>
                  <w:r w:rsidRPr="00901935">
                    <w:rPr>
                      <w:color w:val="1F497D" w:themeColor="text2"/>
                      <w:sz w:val="20"/>
                      <w:szCs w:val="20"/>
                    </w:rPr>
                    <w:t>Infrastructure and services are restored and stop-bank</w:t>
                  </w:r>
                  <w:r w:rsidR="001844D5" w:rsidRPr="00901935">
                    <w:rPr>
                      <w:color w:val="1F497D" w:themeColor="text2"/>
                      <w:sz w:val="20"/>
                      <w:szCs w:val="20"/>
                    </w:rPr>
                    <w:t xml:space="preserve"> repairs protect the community.</w:t>
                  </w:r>
                </w:p>
                <w:p w:rsidR="00901935" w:rsidRPr="00901935" w:rsidRDefault="00901935" w:rsidP="00B6288C">
                  <w:pPr>
                    <w:rPr>
                      <w:color w:val="1F497D" w:themeColor="text2"/>
                      <w:sz w:val="20"/>
                      <w:szCs w:val="20"/>
                    </w:rPr>
                  </w:pPr>
                </w:p>
              </w:tc>
            </w:tr>
          </w:tbl>
          <w:p w:rsidR="008125FB" w:rsidRPr="00901935" w:rsidRDefault="008125FB" w:rsidP="00B6288C">
            <w:pPr>
              <w:pStyle w:val="ListParagraph"/>
              <w:ind w:left="433"/>
              <w:rPr>
                <w:color w:val="1F497D" w:themeColor="text2"/>
                <w:sz w:val="20"/>
                <w:szCs w:val="20"/>
              </w:rPr>
            </w:pPr>
          </w:p>
        </w:tc>
      </w:tr>
      <w:tr w:rsidR="00901935" w:rsidRPr="00901935" w:rsidTr="00901935">
        <w:trPr>
          <w:trHeight w:val="1375"/>
          <w:jc w:val="center"/>
        </w:trPr>
        <w:tc>
          <w:tcPr>
            <w:tcW w:w="891" w:type="pct"/>
            <w:tcBorders>
              <w:top w:val="nil"/>
            </w:tcBorders>
            <w:vAlign w:val="center"/>
          </w:tcPr>
          <w:p w:rsidR="008125FB" w:rsidRPr="00901935" w:rsidRDefault="008125FB" w:rsidP="00B6288C">
            <w:pPr>
              <w:jc w:val="center"/>
              <w:rPr>
                <w:color w:val="1F497D" w:themeColor="text2"/>
                <w:sz w:val="20"/>
                <w:szCs w:val="20"/>
              </w:rPr>
            </w:pPr>
            <w:r w:rsidRPr="00901935">
              <w:rPr>
                <w:noProof/>
                <w:color w:val="1F497D" w:themeColor="text2"/>
                <w:sz w:val="20"/>
                <w:szCs w:val="20"/>
                <w:lang w:eastAsia="en-NZ"/>
              </w:rPr>
              <w:drawing>
                <wp:inline distT="0" distB="0" distL="0" distR="0" wp14:anchorId="7264AE61" wp14:editId="1B82A1B2">
                  <wp:extent cx="800100" cy="8001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economic-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7677" cy="797677"/>
                          </a:xfrm>
                          <a:prstGeom prst="rect">
                            <a:avLst/>
                          </a:prstGeom>
                        </pic:spPr>
                      </pic:pic>
                    </a:graphicData>
                  </a:graphic>
                </wp:inline>
              </w:drawing>
            </w:r>
          </w:p>
          <w:p w:rsidR="008125FB" w:rsidRPr="00901935" w:rsidRDefault="008125FB" w:rsidP="00B6288C">
            <w:pPr>
              <w:jc w:val="center"/>
              <w:rPr>
                <w:b/>
                <w:color w:val="1F497D" w:themeColor="text2"/>
                <w:sz w:val="20"/>
                <w:szCs w:val="20"/>
              </w:rPr>
            </w:pPr>
            <w:r w:rsidRPr="00901935">
              <w:rPr>
                <w:b/>
                <w:color w:val="1F497D" w:themeColor="text2"/>
                <w:sz w:val="20"/>
                <w:szCs w:val="20"/>
              </w:rPr>
              <w:br/>
              <w:t xml:space="preserve">Regenerate </w:t>
            </w:r>
            <w:r w:rsidRPr="00901935">
              <w:rPr>
                <w:b/>
                <w:color w:val="1F497D" w:themeColor="text2"/>
                <w:sz w:val="20"/>
                <w:szCs w:val="20"/>
              </w:rPr>
              <w:br/>
            </w:r>
            <w:r w:rsidRPr="00901935">
              <w:rPr>
                <w:b/>
                <w:i/>
                <w:iCs/>
                <w:color w:val="1F497D" w:themeColor="text2"/>
                <w:sz w:val="20"/>
                <w:szCs w:val="20"/>
              </w:rPr>
              <w:t>Whakatipu</w:t>
            </w:r>
          </w:p>
        </w:tc>
        <w:tc>
          <w:tcPr>
            <w:tcW w:w="4109" w:type="pct"/>
            <w:tcBorders>
              <w:top w:val="nil"/>
            </w:tcBorders>
          </w:tcPr>
          <w:p w:rsidR="008125FB" w:rsidRPr="00901935" w:rsidRDefault="008125FB" w:rsidP="000F64ED">
            <w:pPr>
              <w:pStyle w:val="Heading2"/>
              <w:outlineLvl w:val="1"/>
              <w:rPr>
                <w:color w:val="1F497D" w:themeColor="text2"/>
              </w:rPr>
            </w:pPr>
            <w:r w:rsidRPr="00901935">
              <w:rPr>
                <w:color w:val="1F497D" w:themeColor="text2"/>
              </w:rPr>
              <w:t>REGENERATING THE ECONOMY</w:t>
            </w:r>
          </w:p>
          <w:p w:rsidR="008125FB" w:rsidRPr="00901935" w:rsidRDefault="008125FB" w:rsidP="00B6288C">
            <w:pPr>
              <w:rPr>
                <w:b/>
                <w:i/>
                <w:color w:val="1F497D" w:themeColor="text2"/>
                <w:sz w:val="20"/>
                <w:szCs w:val="20"/>
              </w:rPr>
            </w:pPr>
          </w:p>
          <w:p w:rsidR="008125FB" w:rsidRPr="00901935" w:rsidRDefault="008125FB" w:rsidP="00B6288C">
            <w:pPr>
              <w:rPr>
                <w:b/>
                <w:i/>
                <w:color w:val="1F497D" w:themeColor="text2"/>
                <w:sz w:val="20"/>
                <w:szCs w:val="20"/>
              </w:rPr>
            </w:pPr>
            <w:r w:rsidRPr="00901935">
              <w:rPr>
                <w:b/>
                <w:i/>
                <w:color w:val="1F497D" w:themeColor="text2"/>
                <w:sz w:val="20"/>
                <w:szCs w:val="20"/>
              </w:rPr>
              <w:t>Sustainable business activity is re-established, and where possible, enhanced.</w:t>
            </w:r>
          </w:p>
          <w:p w:rsidR="008125FB" w:rsidRPr="00901935" w:rsidRDefault="008125FB" w:rsidP="00B6288C">
            <w:pPr>
              <w:pStyle w:val="ListParagraph"/>
              <w:ind w:left="433"/>
              <w:rPr>
                <w:color w:val="1F497D" w:themeColor="text2"/>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5393"/>
            </w:tblGrid>
            <w:tr w:rsidR="00901935" w:rsidRPr="00901935" w:rsidTr="00E30C31">
              <w:tc>
                <w:tcPr>
                  <w:tcW w:w="2019" w:type="dxa"/>
                  <w:tcBorders>
                    <w:top w:val="nil"/>
                  </w:tcBorders>
                </w:tcPr>
                <w:p w:rsidR="008125FB" w:rsidRPr="00901935" w:rsidRDefault="008125FB" w:rsidP="00B6288C">
                  <w:pPr>
                    <w:rPr>
                      <w:b/>
                      <w:color w:val="1F497D" w:themeColor="text2"/>
                      <w:sz w:val="20"/>
                      <w:szCs w:val="20"/>
                    </w:rPr>
                  </w:pPr>
                  <w:r w:rsidRPr="00901935">
                    <w:rPr>
                      <w:rFonts w:cs="Times New Roman"/>
                      <w:b/>
                      <w:color w:val="1F497D" w:themeColor="text2"/>
                      <w:sz w:val="20"/>
                      <w:szCs w:val="20"/>
                    </w:rPr>
                    <w:t>Business Continuity</w:t>
                  </w:r>
                </w:p>
              </w:tc>
              <w:tc>
                <w:tcPr>
                  <w:tcW w:w="5641" w:type="dxa"/>
                  <w:tcBorders>
                    <w:top w:val="nil"/>
                  </w:tcBorders>
                </w:tcPr>
                <w:p w:rsidR="008125FB" w:rsidRPr="00901935" w:rsidRDefault="008125FB" w:rsidP="00B6288C">
                  <w:pPr>
                    <w:rPr>
                      <w:color w:val="1F497D" w:themeColor="text2"/>
                      <w:sz w:val="20"/>
                      <w:szCs w:val="20"/>
                    </w:rPr>
                  </w:pPr>
                  <w:r w:rsidRPr="00901935">
                    <w:rPr>
                      <w:rFonts w:cs="Times New Roman"/>
                      <w:color w:val="1F497D" w:themeColor="text2"/>
                      <w:sz w:val="20"/>
                      <w:szCs w:val="20"/>
                    </w:rPr>
                    <w:t>Support is targeted to help restore businesses and to provide certainty around business and employment continuity.</w:t>
                  </w:r>
                </w:p>
              </w:tc>
            </w:tr>
            <w:tr w:rsidR="00901935" w:rsidRPr="00901935" w:rsidTr="003F7440">
              <w:trPr>
                <w:trHeight w:val="836"/>
              </w:trPr>
              <w:tc>
                <w:tcPr>
                  <w:tcW w:w="2019" w:type="dxa"/>
                  <w:vAlign w:val="center"/>
                </w:tcPr>
                <w:p w:rsidR="008125FB" w:rsidRPr="00901935" w:rsidRDefault="008125FB" w:rsidP="00B6288C">
                  <w:pPr>
                    <w:rPr>
                      <w:rFonts w:cs="Times New Roman"/>
                      <w:b/>
                      <w:color w:val="1F497D" w:themeColor="text2"/>
                      <w:sz w:val="20"/>
                      <w:szCs w:val="20"/>
                    </w:rPr>
                  </w:pPr>
                </w:p>
              </w:tc>
              <w:tc>
                <w:tcPr>
                  <w:tcW w:w="5641" w:type="dxa"/>
                  <w:vAlign w:val="center"/>
                </w:tcPr>
                <w:p w:rsidR="008125FB" w:rsidRPr="00901935" w:rsidRDefault="008125FB" w:rsidP="00B6288C">
                  <w:pPr>
                    <w:rPr>
                      <w:rFonts w:cs="Times New Roman"/>
                      <w:color w:val="1F497D" w:themeColor="text2"/>
                      <w:sz w:val="20"/>
                      <w:szCs w:val="20"/>
                    </w:rPr>
                  </w:pPr>
                </w:p>
              </w:tc>
            </w:tr>
          </w:tbl>
          <w:p w:rsidR="008125FB" w:rsidRPr="00901935" w:rsidRDefault="008125FB" w:rsidP="00B6288C">
            <w:pPr>
              <w:pStyle w:val="ListParagraph"/>
              <w:ind w:left="433"/>
              <w:rPr>
                <w:color w:val="1F497D" w:themeColor="text2"/>
                <w:sz w:val="20"/>
                <w:szCs w:val="20"/>
              </w:rPr>
            </w:pPr>
          </w:p>
        </w:tc>
      </w:tr>
      <w:tr w:rsidR="00901935" w:rsidRPr="00901935" w:rsidTr="00901935">
        <w:trPr>
          <w:trHeight w:val="421"/>
          <w:jc w:val="center"/>
        </w:trPr>
        <w:tc>
          <w:tcPr>
            <w:tcW w:w="891" w:type="pct"/>
            <w:vAlign w:val="center"/>
          </w:tcPr>
          <w:p w:rsidR="00BC3BDF" w:rsidRPr="00901935" w:rsidRDefault="00BC3BDF" w:rsidP="00B6288C">
            <w:pPr>
              <w:jc w:val="center"/>
              <w:rPr>
                <w:noProof/>
                <w:color w:val="1F497D" w:themeColor="text2"/>
                <w:sz w:val="20"/>
                <w:szCs w:val="20"/>
                <w:lang w:eastAsia="en-NZ"/>
              </w:rPr>
            </w:pPr>
          </w:p>
          <w:p w:rsidR="00BC3BDF" w:rsidRPr="00901935" w:rsidRDefault="00E30C31" w:rsidP="00BC3BDF">
            <w:pPr>
              <w:jc w:val="center"/>
              <w:rPr>
                <w:color w:val="1F497D" w:themeColor="text2"/>
                <w:sz w:val="20"/>
                <w:szCs w:val="20"/>
                <w:lang w:eastAsia="en-NZ"/>
              </w:rPr>
            </w:pPr>
            <w:r w:rsidRPr="00901935">
              <w:rPr>
                <w:noProof/>
                <w:color w:val="1F497D" w:themeColor="text2"/>
                <w:sz w:val="20"/>
                <w:szCs w:val="20"/>
                <w:lang w:eastAsia="en-NZ"/>
              </w:rPr>
              <w:drawing>
                <wp:inline distT="0" distB="0" distL="0" distR="0" wp14:anchorId="7D81F736" wp14:editId="7DF5D2BE">
                  <wp:extent cx="762000" cy="7620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partnershi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692" cy="759692"/>
                          </a:xfrm>
                          <a:prstGeom prst="rect">
                            <a:avLst/>
                          </a:prstGeom>
                        </pic:spPr>
                      </pic:pic>
                    </a:graphicData>
                  </a:graphic>
                </wp:inline>
              </w:drawing>
            </w:r>
          </w:p>
          <w:p w:rsidR="00BC3BDF" w:rsidRPr="00901935" w:rsidRDefault="00BC3BDF" w:rsidP="00BC3BDF">
            <w:pPr>
              <w:rPr>
                <w:color w:val="1F497D" w:themeColor="text2"/>
                <w:sz w:val="20"/>
                <w:szCs w:val="20"/>
                <w:lang w:eastAsia="en-NZ"/>
              </w:rPr>
            </w:pPr>
          </w:p>
          <w:p w:rsidR="00BC3BDF" w:rsidRPr="00901935" w:rsidRDefault="00BC3BDF" w:rsidP="00BC3BDF">
            <w:pPr>
              <w:jc w:val="center"/>
              <w:rPr>
                <w:b/>
                <w:color w:val="1F497D" w:themeColor="text2"/>
                <w:sz w:val="20"/>
                <w:szCs w:val="20"/>
              </w:rPr>
            </w:pPr>
            <w:r w:rsidRPr="00901935">
              <w:rPr>
                <w:b/>
                <w:color w:val="1F497D" w:themeColor="text2"/>
                <w:sz w:val="20"/>
                <w:szCs w:val="20"/>
              </w:rPr>
              <w:t>Partnership</w:t>
            </w:r>
          </w:p>
          <w:p w:rsidR="00BC3BDF" w:rsidRPr="00901935" w:rsidRDefault="008D25FA" w:rsidP="00BC3BDF">
            <w:pPr>
              <w:jc w:val="center"/>
              <w:rPr>
                <w:b/>
                <w:i/>
                <w:color w:val="1F497D" w:themeColor="text2"/>
                <w:sz w:val="20"/>
                <w:szCs w:val="20"/>
              </w:rPr>
            </w:pPr>
            <w:r>
              <w:rPr>
                <w:b/>
                <w:i/>
                <w:color w:val="1F497D" w:themeColor="text2"/>
                <w:sz w:val="20"/>
                <w:szCs w:val="20"/>
              </w:rPr>
              <w:t>Mahi T</w:t>
            </w:r>
            <w:r w:rsidR="00BC3BDF" w:rsidRPr="00901935">
              <w:rPr>
                <w:b/>
                <w:i/>
                <w:color w:val="1F497D" w:themeColor="text2"/>
                <w:sz w:val="20"/>
                <w:szCs w:val="20"/>
              </w:rPr>
              <w:t>ahi</w:t>
            </w:r>
          </w:p>
          <w:p w:rsidR="008125FB" w:rsidRPr="00901935" w:rsidRDefault="008125FB" w:rsidP="00BC3BDF">
            <w:pPr>
              <w:rPr>
                <w:color w:val="1F497D" w:themeColor="text2"/>
                <w:sz w:val="20"/>
                <w:szCs w:val="20"/>
                <w:lang w:eastAsia="en-NZ"/>
              </w:rPr>
            </w:pPr>
          </w:p>
        </w:tc>
        <w:tc>
          <w:tcPr>
            <w:tcW w:w="4109" w:type="pct"/>
          </w:tcPr>
          <w:p w:rsidR="008125FB" w:rsidRPr="00901935" w:rsidRDefault="00A85979" w:rsidP="000F64ED">
            <w:pPr>
              <w:pStyle w:val="Heading2"/>
              <w:outlineLvl w:val="1"/>
              <w:rPr>
                <w:color w:val="1F497D" w:themeColor="text2"/>
              </w:rPr>
            </w:pPr>
            <w:r w:rsidRPr="00901935">
              <w:rPr>
                <w:color w:val="1F497D" w:themeColor="text2"/>
              </w:rPr>
              <w:t>WORKING IN PARTNERSHIP WITH THE COMMUNITY</w:t>
            </w:r>
          </w:p>
          <w:p w:rsidR="008125FB" w:rsidRPr="00901935" w:rsidRDefault="008125FB" w:rsidP="00B6288C">
            <w:pPr>
              <w:rPr>
                <w:b/>
                <w:i/>
                <w:color w:val="1F497D" w:themeColor="text2"/>
                <w:sz w:val="20"/>
                <w:szCs w:val="20"/>
              </w:rPr>
            </w:pPr>
          </w:p>
          <w:p w:rsidR="00901935" w:rsidRPr="00901935" w:rsidRDefault="00901935" w:rsidP="00901935">
            <w:pPr>
              <w:rPr>
                <w:b/>
                <w:i/>
                <w:color w:val="1F497D" w:themeColor="text2"/>
                <w:sz w:val="20"/>
                <w:szCs w:val="20"/>
              </w:rPr>
            </w:pPr>
            <w:r w:rsidRPr="00901935">
              <w:rPr>
                <w:b/>
                <w:i/>
                <w:color w:val="1F497D" w:themeColor="text2"/>
                <w:sz w:val="20"/>
                <w:szCs w:val="20"/>
              </w:rPr>
              <w:t>Identify and prioritise opportunities that may include:</w:t>
            </w:r>
          </w:p>
          <w:p w:rsidR="00E30C31" w:rsidRPr="00901935" w:rsidRDefault="00E30C31" w:rsidP="00B6288C">
            <w:pPr>
              <w:rPr>
                <w:b/>
                <w:i/>
                <w:color w:val="1F497D" w:themeColor="text2"/>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5412"/>
            </w:tblGrid>
            <w:tr w:rsidR="00901935" w:rsidRPr="00901935" w:rsidTr="00901935">
              <w:trPr>
                <w:trHeight w:val="979"/>
              </w:trPr>
              <w:tc>
                <w:tcPr>
                  <w:tcW w:w="7503" w:type="dxa"/>
                  <w:gridSpan w:val="2"/>
                  <w:tcBorders>
                    <w:top w:val="nil"/>
                  </w:tcBorders>
                </w:tcPr>
                <w:p w:rsidR="00901935" w:rsidRPr="00901935" w:rsidRDefault="00901935" w:rsidP="00B14389">
                  <w:pPr>
                    <w:pStyle w:val="ListParagraph"/>
                    <w:numPr>
                      <w:ilvl w:val="0"/>
                      <w:numId w:val="3"/>
                    </w:numPr>
                    <w:ind w:left="416"/>
                    <w:rPr>
                      <w:color w:val="1F497D" w:themeColor="text2"/>
                      <w:sz w:val="20"/>
                      <w:szCs w:val="20"/>
                    </w:rPr>
                  </w:pPr>
                  <w:r w:rsidRPr="00901935">
                    <w:rPr>
                      <w:color w:val="1F497D" w:themeColor="text2"/>
                      <w:sz w:val="20"/>
                      <w:szCs w:val="20"/>
                    </w:rPr>
                    <w:t>Giving effect to Iwi values through collaborative engagement</w:t>
                  </w:r>
                </w:p>
                <w:p w:rsidR="00901935" w:rsidRPr="00901935" w:rsidRDefault="00901935" w:rsidP="00B14389">
                  <w:pPr>
                    <w:pStyle w:val="ListParagraph"/>
                    <w:numPr>
                      <w:ilvl w:val="0"/>
                      <w:numId w:val="3"/>
                    </w:numPr>
                    <w:ind w:left="416"/>
                    <w:rPr>
                      <w:color w:val="1F497D" w:themeColor="text2"/>
                      <w:sz w:val="20"/>
                      <w:szCs w:val="20"/>
                    </w:rPr>
                  </w:pPr>
                  <w:r w:rsidRPr="00901935">
                    <w:rPr>
                      <w:color w:val="1F497D" w:themeColor="text2"/>
                      <w:sz w:val="20"/>
                      <w:szCs w:val="20"/>
                    </w:rPr>
                    <w:t>Recognising natural, cultural and historical heritage</w:t>
                  </w:r>
                </w:p>
                <w:p w:rsidR="00901935" w:rsidRPr="00901935" w:rsidRDefault="00901935" w:rsidP="00B14389">
                  <w:pPr>
                    <w:pStyle w:val="ListParagraph"/>
                    <w:numPr>
                      <w:ilvl w:val="0"/>
                      <w:numId w:val="3"/>
                    </w:numPr>
                    <w:ind w:left="416"/>
                    <w:rPr>
                      <w:color w:val="1F497D" w:themeColor="text2"/>
                      <w:sz w:val="20"/>
                      <w:szCs w:val="20"/>
                    </w:rPr>
                  </w:pPr>
                  <w:r w:rsidRPr="00901935">
                    <w:rPr>
                      <w:color w:val="1F497D" w:themeColor="text2"/>
                      <w:sz w:val="20"/>
                      <w:szCs w:val="20"/>
                    </w:rPr>
                    <w:t>Enabling partnership approaches to projects that are aligned to the recovery phase and beyond.</w:t>
                  </w:r>
                </w:p>
              </w:tc>
            </w:tr>
            <w:tr w:rsidR="00901935" w:rsidRPr="00901935" w:rsidTr="00901935">
              <w:trPr>
                <w:trHeight w:val="226"/>
              </w:trPr>
              <w:tc>
                <w:tcPr>
                  <w:tcW w:w="1977" w:type="dxa"/>
                  <w:vAlign w:val="center"/>
                </w:tcPr>
                <w:p w:rsidR="00E30C31" w:rsidRPr="00901935" w:rsidRDefault="00E30C31" w:rsidP="004749D1">
                  <w:pPr>
                    <w:rPr>
                      <w:rFonts w:cs="Times New Roman"/>
                      <w:b/>
                      <w:color w:val="1F497D" w:themeColor="text2"/>
                      <w:sz w:val="20"/>
                      <w:szCs w:val="20"/>
                    </w:rPr>
                  </w:pPr>
                </w:p>
              </w:tc>
              <w:tc>
                <w:tcPr>
                  <w:tcW w:w="5525" w:type="dxa"/>
                  <w:vAlign w:val="center"/>
                </w:tcPr>
                <w:p w:rsidR="00E30C31" w:rsidRPr="00901935" w:rsidRDefault="00E30C31" w:rsidP="004749D1">
                  <w:pPr>
                    <w:rPr>
                      <w:rFonts w:cs="Times New Roman"/>
                      <w:color w:val="1F497D" w:themeColor="text2"/>
                      <w:sz w:val="20"/>
                      <w:szCs w:val="20"/>
                    </w:rPr>
                  </w:pPr>
                </w:p>
              </w:tc>
            </w:tr>
          </w:tbl>
          <w:p w:rsidR="008125FB" w:rsidRPr="00901935" w:rsidRDefault="008125FB" w:rsidP="00E30C31">
            <w:pPr>
              <w:rPr>
                <w:color w:val="1F497D" w:themeColor="text2"/>
                <w:sz w:val="20"/>
                <w:szCs w:val="20"/>
              </w:rPr>
            </w:pPr>
          </w:p>
        </w:tc>
      </w:tr>
    </w:tbl>
    <w:p w:rsidR="00E30C31" w:rsidRPr="00901935" w:rsidRDefault="00E30C31" w:rsidP="00E30C31">
      <w:pPr>
        <w:pStyle w:val="Heading1"/>
        <w:rPr>
          <w:color w:val="1F497D" w:themeColor="text2"/>
        </w:rPr>
      </w:pPr>
      <w:r w:rsidRPr="00901935">
        <w:rPr>
          <w:color w:val="1F497D" w:themeColor="text2"/>
        </w:rPr>
        <w:t>Recovery and partnership</w:t>
      </w:r>
    </w:p>
    <w:p w:rsidR="00E30C31" w:rsidRDefault="00E30C31" w:rsidP="00E30C31"/>
    <w:p w:rsidR="00E30C31" w:rsidRDefault="00E30C31" w:rsidP="001043E3">
      <w:pPr>
        <w:jc w:val="both"/>
      </w:pPr>
      <w:r w:rsidRPr="00154DD9">
        <w:t xml:space="preserve">Recovery is a developmental and remedial process with the main objective of efficiently organising the resources available to restore communities to the point where normal social </w:t>
      </w:r>
      <w:r>
        <w:t xml:space="preserve">and economic activities resume. </w:t>
      </w:r>
      <w:r w:rsidRPr="00122305">
        <w:t xml:space="preserve"> </w:t>
      </w:r>
      <w:r>
        <w:t xml:space="preserve">Recovery following Cyclones Debbie and Cook will bring about a ‘new normal’ for many. It is acknowledged that recovery is complex and time consuming. Recovery is also dynamic. For this recovery to be effective, we need to identify and address the short, intermediate and long-term needs of our communities. We aim to anticipate, monitor and be flexible in our response to the changing nature of the recovery activities to ensure strong and enduring community outcomes. </w:t>
      </w:r>
    </w:p>
    <w:p w:rsidR="00E30C31" w:rsidRDefault="00E30C31" w:rsidP="001043E3">
      <w:pPr>
        <w:tabs>
          <w:tab w:val="left" w:pos="6696"/>
        </w:tabs>
        <w:jc w:val="both"/>
      </w:pPr>
      <w:r>
        <w:t>To do this effectively, community will be the focal point of the recovery process. It is also useful to think about the three stages to recovery as three different approaches to recovery from the 2017 flooding event. These are “fix, focus, future”.</w:t>
      </w:r>
      <w:r w:rsidR="001043E3">
        <w:t xml:space="preserve">  </w:t>
      </w:r>
      <w:r>
        <w:t xml:space="preserve">The first short-term stage being ‘fix’ includes the immediate actions for completion to assist the community in the early days of recovery, to ensure communities can function as well as possible. </w:t>
      </w:r>
    </w:p>
    <w:p w:rsidR="00E30C31" w:rsidRDefault="00E30C31" w:rsidP="001043E3">
      <w:pPr>
        <w:jc w:val="both"/>
      </w:pPr>
      <w:r>
        <w:t xml:space="preserve">‘Focus’ is the second approach to recovery and includes the majority of measures and milestones discussed in </w:t>
      </w:r>
      <w:r w:rsidR="009457EB">
        <w:t>our</w:t>
      </w:r>
      <w:r>
        <w:t xml:space="preserve"> Recovery Programme. Approaches in this stage focus on supporting and assisting the community, businesses, farmers and the environment (built and natural) to recover in the best way possible. </w:t>
      </w:r>
    </w:p>
    <w:p w:rsidR="00E30C31" w:rsidRDefault="00E30C31" w:rsidP="001043E3">
      <w:pPr>
        <w:jc w:val="both"/>
        <w:rPr>
          <w:rFonts w:cstheme="minorHAnsi"/>
        </w:rPr>
      </w:pPr>
      <w:r>
        <w:t xml:space="preserve">‘Future’ is the final stage in the recovery process. As people are moving back into their homes, this is the stage for visioning, for making the most of any opportunities, and for the community to be at the heart of planning and decision-making about what is important for recovery in the future. It also signals the ‘exit point’ for the Recovery Team to hand-over to the community and to other agencies to continue the recovery process as part of their ‘business as usual’. </w:t>
      </w:r>
    </w:p>
    <w:p w:rsidR="00E30C31" w:rsidRDefault="00E30C31" w:rsidP="001043E3">
      <w:pPr>
        <w:jc w:val="both"/>
        <w:rPr>
          <w:rFonts w:cstheme="minorHAnsi"/>
        </w:rPr>
      </w:pPr>
      <w:r w:rsidRPr="00810624">
        <w:rPr>
          <w:rFonts w:cstheme="minorHAnsi"/>
        </w:rPr>
        <w:t xml:space="preserve">The </w:t>
      </w:r>
      <w:r>
        <w:rPr>
          <w:rFonts w:cstheme="minorHAnsi"/>
        </w:rPr>
        <w:t xml:space="preserve">Community Partnership Plan therefore </w:t>
      </w:r>
      <w:r w:rsidRPr="00810624">
        <w:rPr>
          <w:rFonts w:cstheme="minorHAnsi"/>
        </w:rPr>
        <w:t>focus</w:t>
      </w:r>
      <w:r>
        <w:rPr>
          <w:rFonts w:cstheme="minorHAnsi"/>
        </w:rPr>
        <w:t>s</w:t>
      </w:r>
      <w:r w:rsidR="001043E3">
        <w:rPr>
          <w:rFonts w:cstheme="minorHAnsi"/>
        </w:rPr>
        <w:t>e</w:t>
      </w:r>
      <w:r>
        <w:rPr>
          <w:rFonts w:cstheme="minorHAnsi"/>
        </w:rPr>
        <w:t>d</w:t>
      </w:r>
      <w:r w:rsidRPr="00810624">
        <w:rPr>
          <w:rFonts w:cstheme="minorHAnsi"/>
        </w:rPr>
        <w:t xml:space="preserve"> initially on getting timely and relevant information to the affected communities</w:t>
      </w:r>
      <w:r>
        <w:rPr>
          <w:rFonts w:cstheme="minorHAnsi"/>
        </w:rPr>
        <w:t>, and on acknowledging/responding to concerns – the ‘Fix’ phase (IAP2 – Inform and Consult).  O</w:t>
      </w:r>
      <w:r w:rsidRPr="00810624">
        <w:rPr>
          <w:rFonts w:cstheme="minorHAnsi"/>
        </w:rPr>
        <w:t xml:space="preserve">nce the lines of communication with affected communities are established, the </w:t>
      </w:r>
      <w:r w:rsidRPr="00810624">
        <w:rPr>
          <w:rFonts w:cstheme="minorHAnsi"/>
        </w:rPr>
        <w:lastRenderedPageBreak/>
        <w:t xml:space="preserve">Recovery Team </w:t>
      </w:r>
      <w:r>
        <w:rPr>
          <w:rFonts w:cstheme="minorHAnsi"/>
        </w:rPr>
        <w:t>has</w:t>
      </w:r>
      <w:r w:rsidRPr="00810624">
        <w:rPr>
          <w:rFonts w:cstheme="minorHAnsi"/>
        </w:rPr>
        <w:t xml:space="preserve"> be</w:t>
      </w:r>
      <w:r>
        <w:rPr>
          <w:rFonts w:cstheme="minorHAnsi"/>
        </w:rPr>
        <w:t>en</w:t>
      </w:r>
      <w:r w:rsidRPr="00810624">
        <w:rPr>
          <w:rFonts w:cstheme="minorHAnsi"/>
        </w:rPr>
        <w:t xml:space="preserve"> s</w:t>
      </w:r>
      <w:r>
        <w:rPr>
          <w:rFonts w:cstheme="minorHAnsi"/>
        </w:rPr>
        <w:t>eeking input around ‘Focus</w:t>
      </w:r>
      <w:r w:rsidR="001043E3">
        <w:rPr>
          <w:rFonts w:cstheme="minorHAnsi"/>
        </w:rPr>
        <w:t xml:space="preserve">’ and ‘Future’ (IAP2 – Involve, </w:t>
      </w:r>
      <w:r w:rsidR="00B1537E">
        <w:rPr>
          <w:rFonts w:cstheme="minorHAnsi"/>
        </w:rPr>
        <w:t>Collaborate and</w:t>
      </w:r>
      <w:r>
        <w:rPr>
          <w:rFonts w:cstheme="minorHAnsi"/>
        </w:rPr>
        <w:t xml:space="preserve"> Empower).</w:t>
      </w:r>
    </w:p>
    <w:p w:rsidR="00E30C31" w:rsidRDefault="00E30C31" w:rsidP="00E30C31">
      <w:pPr>
        <w:rPr>
          <w:rFonts w:cstheme="minorHAnsi"/>
        </w:rPr>
      </w:pPr>
      <w:r>
        <w:rPr>
          <w:noProof/>
          <w:shd w:val="clear" w:color="auto" w:fill="FFFFFF"/>
          <w:lang w:eastAsia="en-NZ"/>
        </w:rPr>
        <w:drawing>
          <wp:anchor distT="0" distB="0" distL="114300" distR="114300" simplePos="0" relativeHeight="251658240" behindDoc="0" locked="0" layoutInCell="1" allowOverlap="1" wp14:anchorId="22D12BA3" wp14:editId="4D83D7F8">
            <wp:simplePos x="0" y="0"/>
            <wp:positionH relativeFrom="column">
              <wp:posOffset>-185866</wp:posOffset>
            </wp:positionH>
            <wp:positionV relativeFrom="paragraph">
              <wp:posOffset>8255</wp:posOffset>
            </wp:positionV>
            <wp:extent cx="6005195" cy="3793490"/>
            <wp:effectExtent l="38100" t="0" r="9080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rsidR="00B6288C" w:rsidRDefault="00B6288C" w:rsidP="00B6288C">
      <w:pPr>
        <w:rPr>
          <w:rFonts w:cstheme="minorHAnsi"/>
          <w:b/>
          <w:sz w:val="28"/>
          <w:szCs w:val="28"/>
        </w:rPr>
        <w:sectPr w:rsidR="00B6288C" w:rsidSect="001D3E96">
          <w:footerReference w:type="default" r:id="rId26"/>
          <w:pgSz w:w="11906" w:h="16838"/>
          <w:pgMar w:top="1135" w:right="1440" w:bottom="284" w:left="1440" w:header="708" w:footer="708" w:gutter="0"/>
          <w:cols w:space="708"/>
          <w:docGrid w:linePitch="360"/>
        </w:sectPr>
      </w:pPr>
    </w:p>
    <w:tbl>
      <w:tblPr>
        <w:tblStyle w:val="TableGrid"/>
        <w:tblW w:w="5000" w:type="pct"/>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28" w:type="dxa"/>
          <w:bottom w:w="57" w:type="dxa"/>
        </w:tblCellMar>
        <w:tblLook w:val="04A0" w:firstRow="1" w:lastRow="0" w:firstColumn="1" w:lastColumn="0" w:noHBand="0" w:noVBand="1"/>
      </w:tblPr>
      <w:tblGrid>
        <w:gridCol w:w="2442"/>
        <w:gridCol w:w="30"/>
        <w:gridCol w:w="3187"/>
        <w:gridCol w:w="5247"/>
        <w:gridCol w:w="6223"/>
        <w:gridCol w:w="2159"/>
        <w:gridCol w:w="2215"/>
      </w:tblGrid>
      <w:tr w:rsidR="00080B4F" w:rsidTr="00884585">
        <w:trPr>
          <w:jc w:val="center"/>
        </w:trPr>
        <w:tc>
          <w:tcPr>
            <w:tcW w:w="568" w:type="pct"/>
            <w:shd w:val="clear" w:color="auto" w:fill="FFFFFF" w:themeFill="background1"/>
            <w:vAlign w:val="bottom"/>
          </w:tcPr>
          <w:p w:rsidR="00080B4F" w:rsidRPr="00DC07FB" w:rsidRDefault="00080B4F" w:rsidP="00033809">
            <w:pPr>
              <w:contextualSpacing/>
              <w:jc w:val="center"/>
              <w:rPr>
                <w:b/>
                <w:sz w:val="28"/>
                <w:szCs w:val="28"/>
              </w:rPr>
            </w:pPr>
            <w:r w:rsidRPr="00DC07FB">
              <w:rPr>
                <w:b/>
                <w:sz w:val="28"/>
                <w:szCs w:val="28"/>
              </w:rPr>
              <w:lastRenderedPageBreak/>
              <w:t>Objective</w:t>
            </w:r>
          </w:p>
          <w:p w:rsidR="00080B4F" w:rsidRPr="005F004C" w:rsidRDefault="00080B4F" w:rsidP="00033809">
            <w:pPr>
              <w:contextualSpacing/>
              <w:jc w:val="center"/>
              <w:rPr>
                <w:rFonts w:eastAsia="Times New Roman" w:cs="Times New Roman"/>
                <w:b/>
                <w:color w:val="0F243E" w:themeColor="text2" w:themeShade="80"/>
                <w:sz w:val="32"/>
                <w:szCs w:val="32"/>
                <w:lang w:eastAsia="en-AU"/>
              </w:rPr>
            </w:pPr>
            <w:r w:rsidRPr="00DC07FB">
              <w:rPr>
                <w:sz w:val="24"/>
                <w:szCs w:val="24"/>
              </w:rPr>
              <w:t>Our desired future state</w:t>
            </w:r>
          </w:p>
        </w:tc>
        <w:tc>
          <w:tcPr>
            <w:tcW w:w="4432" w:type="pct"/>
            <w:gridSpan w:val="6"/>
            <w:shd w:val="clear" w:color="auto" w:fill="FFFFFF" w:themeFill="background1"/>
          </w:tcPr>
          <w:p w:rsidR="00080B4F" w:rsidRPr="00A85979" w:rsidRDefault="00317CD0" w:rsidP="00033809">
            <w:pPr>
              <w:tabs>
                <w:tab w:val="center" w:pos="4513"/>
                <w:tab w:val="right" w:pos="9026"/>
              </w:tabs>
              <w:contextualSpacing/>
              <w:jc w:val="center"/>
              <w:rPr>
                <w:rFonts w:eastAsia="Times New Roman" w:cs="Times New Roman"/>
                <w:b/>
                <w:color w:val="0F243E" w:themeColor="text2" w:themeShade="80"/>
                <w:sz w:val="40"/>
                <w:szCs w:val="40"/>
                <w:lang w:eastAsia="en-AU"/>
              </w:rPr>
            </w:pPr>
            <w:r w:rsidRPr="00A85979">
              <w:rPr>
                <w:noProof/>
                <w:color w:val="1F497D" w:themeColor="text2"/>
                <w:sz w:val="20"/>
                <w:szCs w:val="20"/>
                <w:lang w:eastAsia="en-NZ"/>
              </w:rPr>
              <w:drawing>
                <wp:anchor distT="0" distB="0" distL="114300" distR="114300" simplePos="0" relativeHeight="251659264" behindDoc="0" locked="0" layoutInCell="1" allowOverlap="1" wp14:anchorId="610D94AC" wp14:editId="610D6BD1">
                  <wp:simplePos x="0" y="0"/>
                  <wp:positionH relativeFrom="column">
                    <wp:posOffset>1624330</wp:posOffset>
                  </wp:positionH>
                  <wp:positionV relativeFrom="paragraph">
                    <wp:posOffset>-313055</wp:posOffset>
                  </wp:positionV>
                  <wp:extent cx="874395" cy="874395"/>
                  <wp:effectExtent l="0" t="0" r="1905"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recovery-project-icons-partnershi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4395" cy="874395"/>
                          </a:xfrm>
                          <a:prstGeom prst="rect">
                            <a:avLst/>
                          </a:prstGeom>
                        </pic:spPr>
                      </pic:pic>
                    </a:graphicData>
                  </a:graphic>
                  <wp14:sizeRelH relativeFrom="page">
                    <wp14:pctWidth>0</wp14:pctWidth>
                  </wp14:sizeRelH>
                  <wp14:sizeRelV relativeFrom="page">
                    <wp14:pctHeight>0</wp14:pctHeight>
                  </wp14:sizeRelV>
                </wp:anchor>
              </w:drawing>
            </w:r>
            <w:r w:rsidR="00080B4F">
              <w:rPr>
                <w:rFonts w:eastAsia="Times New Roman" w:cs="Times New Roman"/>
                <w:b/>
                <w:color w:val="0F243E" w:themeColor="text2" w:themeShade="80"/>
                <w:sz w:val="40"/>
                <w:szCs w:val="40"/>
                <w:lang w:eastAsia="en-AU"/>
              </w:rPr>
              <w:t xml:space="preserve">Working in partnership (Mahi </w:t>
            </w:r>
            <w:r w:rsidR="008D25FA">
              <w:rPr>
                <w:rFonts w:eastAsia="Times New Roman" w:cs="Times New Roman"/>
                <w:b/>
                <w:color w:val="0F243E" w:themeColor="text2" w:themeShade="80"/>
                <w:sz w:val="40"/>
                <w:szCs w:val="40"/>
                <w:lang w:eastAsia="en-AU"/>
              </w:rPr>
              <w:t>Tahi</w:t>
            </w:r>
            <w:r w:rsidR="00080B4F">
              <w:rPr>
                <w:rFonts w:eastAsia="Times New Roman" w:cs="Times New Roman"/>
                <w:b/>
                <w:color w:val="0F243E" w:themeColor="text2" w:themeShade="80"/>
                <w:sz w:val="40"/>
                <w:szCs w:val="40"/>
                <w:lang w:eastAsia="en-AU"/>
              </w:rPr>
              <w:t>) with the community</w:t>
            </w:r>
          </w:p>
          <w:p w:rsidR="00080B4F" w:rsidRPr="00752493" w:rsidRDefault="00080B4F" w:rsidP="00033809">
            <w:pPr>
              <w:contextualSpacing/>
              <w:jc w:val="center"/>
              <w:rPr>
                <w:rFonts w:eastAsia="Times New Roman" w:cs="Times New Roman"/>
                <w:color w:val="0F243E" w:themeColor="text2" w:themeShade="80"/>
                <w:sz w:val="28"/>
                <w:szCs w:val="28"/>
                <w:lang w:eastAsia="en-AU"/>
              </w:rPr>
            </w:pPr>
            <w:r w:rsidRPr="003A6605">
              <w:rPr>
                <w:color w:val="1F497D" w:themeColor="text2"/>
                <w:sz w:val="28"/>
                <w:szCs w:val="28"/>
              </w:rPr>
              <w:t>Working</w:t>
            </w:r>
            <w:r w:rsidRPr="003A6605">
              <w:rPr>
                <w:b/>
                <w:color w:val="1F497D" w:themeColor="text2"/>
                <w:sz w:val="28"/>
                <w:szCs w:val="28"/>
              </w:rPr>
              <w:t xml:space="preserve"> </w:t>
            </w:r>
            <w:r w:rsidRPr="003A6605">
              <w:rPr>
                <w:color w:val="1F497D" w:themeColor="text2"/>
                <w:sz w:val="28"/>
                <w:szCs w:val="28"/>
              </w:rPr>
              <w:t>with communities to identify and prioritise opportunities</w:t>
            </w:r>
            <w:r>
              <w:rPr>
                <w:rFonts w:eastAsia="Times New Roman" w:cs="Times New Roman"/>
                <w:color w:val="0F243E" w:themeColor="text2" w:themeShade="80"/>
                <w:sz w:val="28"/>
                <w:szCs w:val="28"/>
                <w:lang w:eastAsia="en-AU"/>
              </w:rPr>
              <w:t>.</w:t>
            </w:r>
          </w:p>
        </w:tc>
      </w:tr>
      <w:tr w:rsidR="00080B4F" w:rsidTr="00884585">
        <w:trPr>
          <w:trHeight w:val="887"/>
          <w:jc w:val="center"/>
        </w:trPr>
        <w:tc>
          <w:tcPr>
            <w:tcW w:w="568" w:type="pct"/>
            <w:shd w:val="clear" w:color="auto" w:fill="C6D9F1" w:themeFill="text2" w:themeFillTint="33"/>
          </w:tcPr>
          <w:p w:rsidR="00080B4F" w:rsidRPr="00DC07FB" w:rsidRDefault="00080B4F" w:rsidP="00033809">
            <w:pPr>
              <w:contextualSpacing/>
              <w:jc w:val="center"/>
              <w:rPr>
                <w:rFonts w:eastAsia="Times New Roman" w:cs="Times New Roman"/>
                <w:b/>
                <w:color w:val="0F243E" w:themeColor="text2" w:themeShade="80"/>
                <w:sz w:val="28"/>
                <w:szCs w:val="28"/>
                <w:lang w:eastAsia="en-AU"/>
              </w:rPr>
            </w:pPr>
            <w:r w:rsidRPr="00DC07FB">
              <w:rPr>
                <w:rFonts w:eastAsia="Times New Roman" w:cs="Times New Roman"/>
                <w:b/>
                <w:color w:val="0F243E" w:themeColor="text2" w:themeShade="80"/>
                <w:sz w:val="28"/>
                <w:szCs w:val="28"/>
                <w:lang w:eastAsia="en-AU"/>
              </w:rPr>
              <w:t>Outcome</w:t>
            </w:r>
            <w:r w:rsidR="003E25EC">
              <w:rPr>
                <w:rFonts w:eastAsia="Times New Roman" w:cs="Times New Roman"/>
                <w:b/>
                <w:color w:val="0F243E" w:themeColor="text2" w:themeShade="80"/>
                <w:sz w:val="28"/>
                <w:szCs w:val="28"/>
                <w:lang w:eastAsia="en-AU"/>
              </w:rPr>
              <w:t>s</w:t>
            </w:r>
          </w:p>
          <w:p w:rsidR="00080B4F" w:rsidRPr="00DC07FB" w:rsidRDefault="00080B4F" w:rsidP="00033809">
            <w:pPr>
              <w:contextualSpacing/>
              <w:jc w:val="center"/>
              <w:rPr>
                <w:rFonts w:eastAsia="Times New Roman" w:cs="Times New Roman"/>
                <w:color w:val="0F243E" w:themeColor="text2" w:themeShade="80"/>
                <w:sz w:val="24"/>
                <w:szCs w:val="24"/>
                <w:lang w:eastAsia="en-AU"/>
              </w:rPr>
            </w:pPr>
            <w:r w:rsidRPr="00DC07FB">
              <w:rPr>
                <w:rFonts w:eastAsia="Times New Roman" w:cs="Times New Roman"/>
                <w:color w:val="0F243E" w:themeColor="text2" w:themeShade="80"/>
                <w:sz w:val="24"/>
                <w:szCs w:val="24"/>
                <w:lang w:eastAsia="en-AU"/>
              </w:rPr>
              <w:t xml:space="preserve">What success </w:t>
            </w:r>
          </w:p>
          <w:p w:rsidR="00080B4F" w:rsidRDefault="00080B4F" w:rsidP="00033809">
            <w:pPr>
              <w:contextualSpacing/>
              <w:jc w:val="center"/>
            </w:pPr>
            <w:r w:rsidRPr="00DC07FB">
              <w:rPr>
                <w:rFonts w:eastAsia="Times New Roman" w:cs="Times New Roman"/>
                <w:color w:val="0F243E" w:themeColor="text2" w:themeShade="80"/>
                <w:sz w:val="24"/>
                <w:szCs w:val="24"/>
                <w:lang w:eastAsia="en-AU"/>
              </w:rPr>
              <w:t>will look like</w:t>
            </w:r>
          </w:p>
        </w:tc>
        <w:tc>
          <w:tcPr>
            <w:tcW w:w="4432" w:type="pct"/>
            <w:gridSpan w:val="6"/>
            <w:shd w:val="clear" w:color="auto" w:fill="C6D9F1" w:themeFill="text2" w:themeFillTint="33"/>
          </w:tcPr>
          <w:p w:rsidR="00080B4F" w:rsidRPr="007A5BFF" w:rsidRDefault="003E25EC" w:rsidP="00033809">
            <w:pPr>
              <w:ind w:left="113" w:right="113"/>
              <w:contextualSpacing/>
              <w:jc w:val="center"/>
              <w:rPr>
                <w:rFonts w:cs="Times New Roman"/>
                <w:b/>
                <w:bCs/>
                <w:sz w:val="40"/>
                <w:szCs w:val="40"/>
              </w:rPr>
            </w:pPr>
            <w:r>
              <w:rPr>
                <w:rFonts w:cs="Times New Roman"/>
                <w:b/>
                <w:sz w:val="40"/>
                <w:szCs w:val="40"/>
              </w:rPr>
              <w:t>Partnership</w:t>
            </w:r>
          </w:p>
          <w:p w:rsidR="00080B4F" w:rsidRDefault="00080B4F" w:rsidP="00033809">
            <w:pPr>
              <w:ind w:left="113" w:right="113"/>
              <w:contextualSpacing/>
              <w:jc w:val="center"/>
              <w:rPr>
                <w:sz w:val="28"/>
                <w:szCs w:val="28"/>
              </w:rPr>
            </w:pPr>
            <w:r w:rsidRPr="00080B4F">
              <w:rPr>
                <w:sz w:val="28"/>
                <w:szCs w:val="28"/>
              </w:rPr>
              <w:t>Enabling partnership approaches to projects that are aligned to the recovery phase and beyond.</w:t>
            </w:r>
          </w:p>
          <w:p w:rsidR="003E25EC" w:rsidRDefault="003E25EC" w:rsidP="003E25EC">
            <w:pPr>
              <w:tabs>
                <w:tab w:val="center" w:pos="4513"/>
                <w:tab w:val="right" w:pos="9026"/>
              </w:tabs>
              <w:contextualSpacing/>
              <w:jc w:val="center"/>
              <w:rPr>
                <w:sz w:val="28"/>
                <w:szCs w:val="28"/>
              </w:rPr>
            </w:pPr>
            <w:r w:rsidRPr="00BE1EA3">
              <w:rPr>
                <w:sz w:val="28"/>
                <w:szCs w:val="28"/>
              </w:rPr>
              <w:t>Giving effect to Iwi values through collaborative engagement</w:t>
            </w:r>
            <w:r w:rsidR="00720D73">
              <w:rPr>
                <w:sz w:val="28"/>
                <w:szCs w:val="28"/>
              </w:rPr>
              <w:t>.</w:t>
            </w:r>
          </w:p>
          <w:p w:rsidR="003E25EC" w:rsidRPr="00BE1EA3" w:rsidRDefault="003E25EC" w:rsidP="003E25EC">
            <w:pPr>
              <w:tabs>
                <w:tab w:val="center" w:pos="4513"/>
                <w:tab w:val="right" w:pos="9026"/>
              </w:tabs>
              <w:contextualSpacing/>
              <w:jc w:val="center"/>
              <w:rPr>
                <w:rFonts w:eastAsia="Times New Roman" w:cs="Times New Roman"/>
                <w:sz w:val="28"/>
                <w:szCs w:val="28"/>
                <w:lang w:eastAsia="en-AU"/>
              </w:rPr>
            </w:pPr>
            <w:r>
              <w:rPr>
                <w:sz w:val="28"/>
                <w:szCs w:val="28"/>
              </w:rPr>
              <w:t>R</w:t>
            </w:r>
            <w:r w:rsidRPr="00BE1EA3">
              <w:rPr>
                <w:sz w:val="28"/>
                <w:szCs w:val="28"/>
              </w:rPr>
              <w:t>ecognising natural, cultural and historic heritage</w:t>
            </w:r>
            <w:r w:rsidR="00720D73">
              <w:rPr>
                <w:sz w:val="28"/>
                <w:szCs w:val="28"/>
              </w:rPr>
              <w:t>.</w:t>
            </w:r>
            <w:r w:rsidRPr="00BE1EA3">
              <w:rPr>
                <w:rFonts w:eastAsia="Times New Roman" w:cs="Times New Roman"/>
                <w:sz w:val="28"/>
                <w:szCs w:val="28"/>
                <w:lang w:eastAsia="en-AU"/>
              </w:rPr>
              <w:t xml:space="preserve"> </w:t>
            </w:r>
          </w:p>
          <w:p w:rsidR="003E25EC" w:rsidRPr="00080B4F" w:rsidRDefault="003E25EC" w:rsidP="00033809">
            <w:pPr>
              <w:ind w:left="113" w:right="113"/>
              <w:contextualSpacing/>
              <w:jc w:val="center"/>
              <w:rPr>
                <w:sz w:val="28"/>
                <w:szCs w:val="28"/>
              </w:rPr>
            </w:pPr>
          </w:p>
        </w:tc>
      </w:tr>
      <w:tr w:rsidR="00D13A67" w:rsidTr="00D13A67">
        <w:trPr>
          <w:jc w:val="center"/>
        </w:trPr>
        <w:tc>
          <w:tcPr>
            <w:tcW w:w="568" w:type="pct"/>
            <w:vMerge w:val="restart"/>
            <w:tcBorders>
              <w:right w:val="nil"/>
            </w:tcBorders>
            <w:shd w:val="clear" w:color="auto" w:fill="DBE5F1" w:themeFill="accent1" w:themeFillTint="33"/>
          </w:tcPr>
          <w:p w:rsidR="0088422F" w:rsidRPr="003F7632" w:rsidRDefault="0088422F" w:rsidP="00033809">
            <w:pPr>
              <w:contextualSpacing/>
              <w:jc w:val="center"/>
              <w:rPr>
                <w:rFonts w:eastAsia="Times New Roman" w:cs="Times New Roman"/>
                <w:b/>
                <w:color w:val="0F243E" w:themeColor="text2" w:themeShade="80"/>
                <w:sz w:val="28"/>
                <w:szCs w:val="28"/>
                <w:lang w:eastAsia="en-AU"/>
              </w:rPr>
            </w:pPr>
            <w:r w:rsidRPr="003F7632">
              <w:rPr>
                <w:rFonts w:eastAsia="Times New Roman" w:cs="Times New Roman"/>
                <w:b/>
                <w:color w:val="0F243E" w:themeColor="text2" w:themeShade="80"/>
                <w:sz w:val="28"/>
                <w:szCs w:val="28"/>
                <w:lang w:eastAsia="en-AU"/>
              </w:rPr>
              <w:t>Approach</w:t>
            </w:r>
          </w:p>
          <w:p w:rsidR="0088422F" w:rsidRDefault="0088422F" w:rsidP="00033809">
            <w:pPr>
              <w:contextualSpacing/>
              <w:jc w:val="center"/>
            </w:pPr>
            <w:r w:rsidRPr="003F7632">
              <w:rPr>
                <w:rFonts w:eastAsia="Times New Roman" w:cs="Times New Roman"/>
                <w:color w:val="0F243E" w:themeColor="text2" w:themeShade="80"/>
                <w:sz w:val="24"/>
                <w:szCs w:val="24"/>
                <w:lang w:eastAsia="en-AU"/>
              </w:rPr>
              <w:t>How we will get there</w:t>
            </w:r>
          </w:p>
        </w:tc>
        <w:tc>
          <w:tcPr>
            <w:tcW w:w="748" w:type="pct"/>
            <w:gridSpan w:val="2"/>
            <w:tcBorders>
              <w:top w:val="nil"/>
              <w:left w:val="nil"/>
              <w:bottom w:val="nil"/>
              <w:right w:val="nil"/>
            </w:tcBorders>
            <w:shd w:val="clear" w:color="auto" w:fill="DBE5F1" w:themeFill="accent1" w:themeFillTint="33"/>
          </w:tcPr>
          <w:p w:rsidR="0088422F" w:rsidRPr="00080B4F" w:rsidRDefault="0088422F" w:rsidP="00175615">
            <w:pPr>
              <w:pStyle w:val="Heading6"/>
              <w:outlineLvl w:val="5"/>
              <w:rPr>
                <w:rFonts w:ascii="Calibri Light" w:eastAsiaTheme="minorHAnsi" w:hAnsi="Calibri Light" w:cs="Times New Roman"/>
                <w:b/>
                <w:i w:val="0"/>
                <w:iCs w:val="0"/>
                <w:color w:val="auto"/>
                <w:sz w:val="28"/>
                <w:szCs w:val="28"/>
              </w:rPr>
            </w:pPr>
            <w:r w:rsidRPr="00080B4F">
              <w:rPr>
                <w:rFonts w:ascii="Calibri Light" w:eastAsiaTheme="minorHAnsi" w:hAnsi="Calibri Light" w:cs="Times New Roman"/>
                <w:b/>
                <w:i w:val="0"/>
                <w:iCs w:val="0"/>
                <w:color w:val="auto"/>
                <w:sz w:val="28"/>
                <w:szCs w:val="28"/>
              </w:rPr>
              <w:t>Success Factors</w:t>
            </w:r>
          </w:p>
          <w:p w:rsidR="0088422F" w:rsidRPr="00080B4F" w:rsidRDefault="0088422F" w:rsidP="00175615">
            <w:pPr>
              <w:contextualSpacing/>
              <w:rPr>
                <w:rFonts w:asciiTheme="minorHAnsi" w:eastAsiaTheme="majorEastAsia" w:hAnsiTheme="minorHAnsi" w:cstheme="majorBidi"/>
                <w:i/>
                <w:iCs/>
                <w:color w:val="243F60" w:themeColor="accent1" w:themeShade="7F"/>
              </w:rPr>
            </w:pPr>
            <w:r w:rsidRPr="00080B4F">
              <w:rPr>
                <w:rFonts w:asciiTheme="minorHAnsi" w:eastAsiaTheme="majorEastAsia" w:hAnsiTheme="minorHAnsi" w:cstheme="majorBidi"/>
                <w:i/>
                <w:iCs/>
              </w:rPr>
              <w:t>How we know if we are achieving the objective</w:t>
            </w:r>
          </w:p>
        </w:tc>
        <w:tc>
          <w:tcPr>
            <w:tcW w:w="1220" w:type="pct"/>
            <w:tcBorders>
              <w:left w:val="nil"/>
            </w:tcBorders>
            <w:shd w:val="clear" w:color="auto" w:fill="DBE5F1" w:themeFill="accent1" w:themeFillTint="33"/>
          </w:tcPr>
          <w:p w:rsidR="0088422F" w:rsidRPr="00080B4F" w:rsidRDefault="0088422F" w:rsidP="00175615">
            <w:pPr>
              <w:pStyle w:val="Heading6"/>
              <w:outlineLvl w:val="5"/>
              <w:rPr>
                <w:rFonts w:ascii="Calibri Light" w:eastAsiaTheme="minorHAnsi" w:hAnsi="Calibri Light" w:cs="Times New Roman"/>
                <w:b/>
                <w:i w:val="0"/>
                <w:iCs w:val="0"/>
                <w:color w:val="auto"/>
                <w:sz w:val="28"/>
                <w:szCs w:val="28"/>
              </w:rPr>
            </w:pPr>
            <w:r w:rsidRPr="00080B4F">
              <w:rPr>
                <w:rFonts w:ascii="Calibri Light" w:eastAsiaTheme="minorHAnsi" w:hAnsi="Calibri Light" w:cs="Times New Roman"/>
                <w:b/>
                <w:i w:val="0"/>
                <w:iCs w:val="0"/>
                <w:color w:val="auto"/>
                <w:sz w:val="28"/>
                <w:szCs w:val="28"/>
              </w:rPr>
              <w:t>Measures</w:t>
            </w:r>
          </w:p>
          <w:p w:rsidR="0088422F" w:rsidRPr="00080B4F" w:rsidRDefault="0088422F" w:rsidP="00175615">
            <w:pPr>
              <w:contextualSpacing/>
              <w:rPr>
                <w:rFonts w:asciiTheme="majorHAnsi" w:eastAsiaTheme="majorEastAsia" w:hAnsiTheme="majorHAnsi" w:cstheme="majorBidi"/>
                <w:i/>
                <w:iCs/>
                <w:color w:val="243F60" w:themeColor="accent1" w:themeShade="7F"/>
              </w:rPr>
            </w:pPr>
            <w:r w:rsidRPr="00080B4F">
              <w:rPr>
                <w:rFonts w:asciiTheme="minorHAnsi" w:eastAsiaTheme="majorEastAsia" w:hAnsiTheme="minorHAnsi" w:cstheme="majorBidi"/>
                <w:i/>
                <w:iCs/>
              </w:rPr>
              <w:t>The things we measure to show change in success factors</w:t>
            </w:r>
          </w:p>
        </w:tc>
        <w:tc>
          <w:tcPr>
            <w:tcW w:w="1447" w:type="pct"/>
            <w:shd w:val="clear" w:color="auto" w:fill="DBE5F1" w:themeFill="accent1" w:themeFillTint="33"/>
          </w:tcPr>
          <w:p w:rsidR="0088422F" w:rsidRPr="00080B4F" w:rsidRDefault="0088422F" w:rsidP="00033809">
            <w:pPr>
              <w:pStyle w:val="Heading6"/>
              <w:outlineLvl w:val="5"/>
              <w:rPr>
                <w:rFonts w:ascii="Calibri Light" w:eastAsiaTheme="minorHAnsi" w:hAnsi="Calibri Light" w:cs="Times New Roman"/>
                <w:b/>
                <w:i w:val="0"/>
                <w:iCs w:val="0"/>
                <w:color w:val="auto"/>
                <w:sz w:val="28"/>
                <w:szCs w:val="28"/>
              </w:rPr>
            </w:pPr>
            <w:r w:rsidRPr="00080B4F">
              <w:rPr>
                <w:rFonts w:ascii="Calibri Light" w:eastAsiaTheme="minorHAnsi" w:hAnsi="Calibri Light" w:cs="Times New Roman"/>
                <w:b/>
                <w:i w:val="0"/>
                <w:iCs w:val="0"/>
                <w:color w:val="auto"/>
                <w:sz w:val="28"/>
                <w:szCs w:val="28"/>
              </w:rPr>
              <w:t>Milestones</w:t>
            </w:r>
          </w:p>
          <w:p w:rsidR="0088422F" w:rsidRPr="008935C0" w:rsidRDefault="0088422F" w:rsidP="00080B4F">
            <w:pPr>
              <w:contextualSpacing/>
              <w:rPr>
                <w:lang w:eastAsia="en-AU"/>
              </w:rPr>
            </w:pPr>
            <w:r w:rsidRPr="00080B4F">
              <w:rPr>
                <w:rFonts w:asciiTheme="minorHAnsi" w:eastAsiaTheme="majorEastAsia" w:hAnsiTheme="minorHAnsi" w:cstheme="majorBidi"/>
                <w:i/>
                <w:iCs/>
              </w:rPr>
              <w:t>The deliverables or targets that we will meet</w:t>
            </w:r>
          </w:p>
        </w:tc>
        <w:tc>
          <w:tcPr>
            <w:tcW w:w="502" w:type="pct"/>
            <w:shd w:val="clear" w:color="auto" w:fill="DBE5F1" w:themeFill="accent1" w:themeFillTint="33"/>
          </w:tcPr>
          <w:p w:rsidR="0088422F" w:rsidRPr="00DC07FB" w:rsidRDefault="0088422F" w:rsidP="00033809">
            <w:pPr>
              <w:pStyle w:val="Heading6"/>
              <w:outlineLvl w:val="5"/>
            </w:pPr>
            <w:r w:rsidRPr="00080B4F">
              <w:rPr>
                <w:rFonts w:ascii="Calibri Light" w:eastAsiaTheme="minorHAnsi" w:hAnsi="Calibri Light" w:cs="Times New Roman"/>
                <w:b/>
                <w:i w:val="0"/>
                <w:iCs w:val="0"/>
                <w:color w:val="auto"/>
                <w:sz w:val="28"/>
                <w:szCs w:val="28"/>
              </w:rPr>
              <w:t>Owner</w:t>
            </w:r>
          </w:p>
          <w:p w:rsidR="0088422F" w:rsidRPr="008935C0" w:rsidRDefault="0088422F" w:rsidP="00080B4F">
            <w:pPr>
              <w:contextualSpacing/>
              <w:rPr>
                <w:lang w:eastAsia="en-AU"/>
              </w:rPr>
            </w:pPr>
            <w:r w:rsidRPr="00080B4F">
              <w:rPr>
                <w:rFonts w:asciiTheme="minorHAnsi" w:eastAsiaTheme="majorEastAsia" w:hAnsiTheme="minorHAnsi" w:cstheme="majorBidi"/>
                <w:i/>
                <w:iCs/>
              </w:rPr>
              <w:t>Who is responsible</w:t>
            </w:r>
          </w:p>
        </w:tc>
        <w:tc>
          <w:tcPr>
            <w:tcW w:w="515" w:type="pct"/>
            <w:shd w:val="clear" w:color="auto" w:fill="DBE5F1" w:themeFill="accent1" w:themeFillTint="33"/>
          </w:tcPr>
          <w:p w:rsidR="0088422F" w:rsidRPr="00080B4F" w:rsidRDefault="0088422F" w:rsidP="00033809">
            <w:pPr>
              <w:pStyle w:val="Heading6"/>
              <w:outlineLvl w:val="5"/>
              <w:rPr>
                <w:rFonts w:ascii="Calibri Light" w:eastAsiaTheme="minorHAnsi" w:hAnsi="Calibri Light" w:cs="Times New Roman"/>
                <w:b/>
                <w:i w:val="0"/>
                <w:iCs w:val="0"/>
                <w:color w:val="auto"/>
                <w:sz w:val="28"/>
                <w:szCs w:val="28"/>
              </w:rPr>
            </w:pPr>
            <w:r w:rsidRPr="00080B4F">
              <w:rPr>
                <w:rFonts w:ascii="Calibri Light" w:eastAsiaTheme="minorHAnsi" w:hAnsi="Calibri Light" w:cs="Times New Roman"/>
                <w:b/>
                <w:i w:val="0"/>
                <w:iCs w:val="0"/>
                <w:color w:val="auto"/>
                <w:sz w:val="28"/>
                <w:szCs w:val="28"/>
              </w:rPr>
              <w:t>Target Timeframe</w:t>
            </w:r>
          </w:p>
          <w:p w:rsidR="0088422F" w:rsidRPr="008935C0" w:rsidRDefault="0088422F" w:rsidP="00033809">
            <w:pPr>
              <w:contextualSpacing/>
              <w:jc w:val="center"/>
              <w:rPr>
                <w:lang w:eastAsia="en-AU"/>
              </w:rPr>
            </w:pPr>
            <w:r w:rsidRPr="00F01BD3">
              <w:rPr>
                <w:i/>
                <w:color w:val="000000" w:themeColor="text1"/>
                <w:lang w:eastAsia="en-AU"/>
              </w:rPr>
              <w:t>When will it be done by</w:t>
            </w:r>
          </w:p>
        </w:tc>
      </w:tr>
      <w:tr w:rsidR="00D13A67" w:rsidTr="00483F63">
        <w:trPr>
          <w:trHeight w:val="1247"/>
          <w:jc w:val="center"/>
        </w:trPr>
        <w:tc>
          <w:tcPr>
            <w:tcW w:w="568" w:type="pct"/>
            <w:vMerge/>
            <w:shd w:val="clear" w:color="auto" w:fill="FDE9D9" w:themeFill="accent6" w:themeFillTint="33"/>
          </w:tcPr>
          <w:p w:rsidR="0088422F" w:rsidRDefault="0088422F" w:rsidP="00033809">
            <w:pPr>
              <w:contextualSpacing/>
            </w:pPr>
          </w:p>
        </w:tc>
        <w:tc>
          <w:tcPr>
            <w:tcW w:w="748" w:type="pct"/>
            <w:gridSpan w:val="2"/>
            <w:tcBorders>
              <w:top w:val="nil"/>
            </w:tcBorders>
            <w:shd w:val="clear" w:color="auto" w:fill="ECF3FA"/>
            <w:vAlign w:val="center"/>
          </w:tcPr>
          <w:p w:rsidR="0088422F" w:rsidRPr="00B36E77" w:rsidRDefault="0088422F" w:rsidP="003E25EC">
            <w:pPr>
              <w:contextualSpacing/>
            </w:pPr>
            <w:r>
              <w:t>All community stakeholders understand, embrace and contribute positively to communication and engagement processes.</w:t>
            </w:r>
          </w:p>
        </w:tc>
        <w:tc>
          <w:tcPr>
            <w:tcW w:w="1220" w:type="pct"/>
            <w:shd w:val="clear" w:color="auto" w:fill="ECF3FA"/>
          </w:tcPr>
          <w:p w:rsidR="0088422F" w:rsidRPr="003E25EC" w:rsidRDefault="0088422F" w:rsidP="00483F63">
            <w:pPr>
              <w:pStyle w:val="ListParagraph"/>
              <w:numPr>
                <w:ilvl w:val="0"/>
                <w:numId w:val="12"/>
              </w:numPr>
              <w:ind w:left="243" w:hanging="218"/>
            </w:pPr>
            <w:r w:rsidRPr="003E25EC">
              <w:t>Regular monitoring and reporting of feedback via social media and face to face meetings</w:t>
            </w:r>
          </w:p>
          <w:p w:rsidR="0088422F" w:rsidRPr="003E25EC" w:rsidRDefault="0088422F" w:rsidP="00483F63">
            <w:pPr>
              <w:pStyle w:val="ListParagraph"/>
              <w:numPr>
                <w:ilvl w:val="0"/>
                <w:numId w:val="12"/>
              </w:numPr>
              <w:ind w:left="243" w:hanging="218"/>
            </w:pPr>
            <w:r w:rsidRPr="003E25EC">
              <w:t>Increasing numbers of people receiving and/or contributing to newsletters and communication opportunities</w:t>
            </w:r>
          </w:p>
          <w:p w:rsidR="0076036D" w:rsidRDefault="0088422F" w:rsidP="00483F63">
            <w:pPr>
              <w:pStyle w:val="ListParagraph"/>
              <w:numPr>
                <w:ilvl w:val="0"/>
                <w:numId w:val="12"/>
              </w:numPr>
              <w:ind w:left="243" w:hanging="218"/>
            </w:pPr>
            <w:r w:rsidRPr="003E25EC">
              <w:t xml:space="preserve">Formal (Sit Reps, agenda items) and informal (via staff) council reporting channels. </w:t>
            </w:r>
          </w:p>
          <w:p w:rsidR="0088422F" w:rsidRPr="003E25EC" w:rsidRDefault="0076036D" w:rsidP="00483F63">
            <w:pPr>
              <w:pStyle w:val="ListParagraph"/>
              <w:numPr>
                <w:ilvl w:val="0"/>
                <w:numId w:val="12"/>
              </w:numPr>
              <w:ind w:left="243" w:hanging="218"/>
            </w:pPr>
            <w:r>
              <w:t>Engagement activities developed in collaboration with the community</w:t>
            </w:r>
          </w:p>
        </w:tc>
        <w:tc>
          <w:tcPr>
            <w:tcW w:w="1447" w:type="pct"/>
            <w:shd w:val="clear" w:color="auto" w:fill="ECF3FA"/>
          </w:tcPr>
          <w:p w:rsidR="000D3886" w:rsidRDefault="000D3886" w:rsidP="00483F63">
            <w:pPr>
              <w:pStyle w:val="ListParagraph"/>
              <w:numPr>
                <w:ilvl w:val="0"/>
                <w:numId w:val="18"/>
              </w:numPr>
            </w:pPr>
            <w:r>
              <w:t>Community groups included in events programmes, to promote their activities and build capacity</w:t>
            </w:r>
          </w:p>
          <w:p w:rsidR="0088422F" w:rsidRDefault="000D3886" w:rsidP="00483F63">
            <w:pPr>
              <w:pStyle w:val="ListParagraph"/>
              <w:numPr>
                <w:ilvl w:val="0"/>
                <w:numId w:val="18"/>
              </w:numPr>
            </w:pPr>
            <w:r>
              <w:t xml:space="preserve">“Who’s Home” displayed at Te Tari </w:t>
            </w:r>
            <w:r w:rsidR="001F2416">
              <w:t>Āwhina</w:t>
            </w:r>
            <w:r>
              <w:t xml:space="preserve"> and is populated by community.</w:t>
            </w:r>
          </w:p>
          <w:p w:rsidR="000D3886" w:rsidRDefault="000C5A3F" w:rsidP="00483F63">
            <w:pPr>
              <w:pStyle w:val="ListParagraph"/>
              <w:numPr>
                <w:ilvl w:val="0"/>
                <w:numId w:val="18"/>
              </w:numPr>
            </w:pPr>
            <w:r>
              <w:t>Sit Reps / status reports are accurate and timely.</w:t>
            </w:r>
          </w:p>
          <w:p w:rsidR="000C5A3F" w:rsidRPr="00433981" w:rsidRDefault="000C5A3F" w:rsidP="00483F63">
            <w:pPr>
              <w:pStyle w:val="ListParagraph"/>
              <w:numPr>
                <w:ilvl w:val="0"/>
                <w:numId w:val="18"/>
              </w:numPr>
            </w:pPr>
            <w:r>
              <w:t>Newsletters are regular, timely with clear relevant messaging.</w:t>
            </w:r>
          </w:p>
        </w:tc>
        <w:tc>
          <w:tcPr>
            <w:tcW w:w="502" w:type="pct"/>
            <w:shd w:val="clear" w:color="auto" w:fill="ECF3FA"/>
          </w:tcPr>
          <w:p w:rsidR="0088422F" w:rsidRDefault="000C5A3F" w:rsidP="00483F63">
            <w:pPr>
              <w:pStyle w:val="ListParagraph"/>
              <w:numPr>
                <w:ilvl w:val="0"/>
                <w:numId w:val="13"/>
              </w:numPr>
            </w:pPr>
            <w:r>
              <w:t>WRO</w:t>
            </w:r>
          </w:p>
          <w:p w:rsidR="000C5A3F" w:rsidRDefault="000C5A3F" w:rsidP="00483F63">
            <w:pPr>
              <w:pStyle w:val="ListParagraph"/>
              <w:numPr>
                <w:ilvl w:val="0"/>
                <w:numId w:val="13"/>
              </w:numPr>
            </w:pPr>
            <w:r>
              <w:t>WRO</w:t>
            </w:r>
          </w:p>
          <w:p w:rsidR="000C5A3F" w:rsidRDefault="000C5A3F" w:rsidP="00483F63">
            <w:pPr>
              <w:pStyle w:val="ListParagraph"/>
              <w:numPr>
                <w:ilvl w:val="0"/>
                <w:numId w:val="13"/>
              </w:numPr>
            </w:pPr>
            <w:r>
              <w:t>WRO</w:t>
            </w:r>
          </w:p>
          <w:p w:rsidR="000C5A3F" w:rsidRPr="00433981" w:rsidRDefault="000C5A3F" w:rsidP="00483F63">
            <w:pPr>
              <w:pStyle w:val="ListParagraph"/>
              <w:numPr>
                <w:ilvl w:val="0"/>
                <w:numId w:val="13"/>
              </w:numPr>
            </w:pPr>
            <w:r>
              <w:t>WRO</w:t>
            </w:r>
          </w:p>
        </w:tc>
        <w:tc>
          <w:tcPr>
            <w:tcW w:w="515" w:type="pct"/>
            <w:shd w:val="clear" w:color="auto" w:fill="ECF3FA"/>
          </w:tcPr>
          <w:p w:rsidR="000C5A3F" w:rsidRDefault="000C5A3F" w:rsidP="00483F63">
            <w:pPr>
              <w:pStyle w:val="ListParagraph"/>
              <w:numPr>
                <w:ilvl w:val="0"/>
                <w:numId w:val="14"/>
              </w:numPr>
              <w:ind w:left="345" w:hanging="283"/>
            </w:pPr>
            <w:r>
              <w:t>Ongoing (starting July 2017)</w:t>
            </w:r>
          </w:p>
          <w:p w:rsidR="0088422F" w:rsidRDefault="000C5A3F" w:rsidP="00483F63">
            <w:pPr>
              <w:pStyle w:val="ListParagraph"/>
              <w:numPr>
                <w:ilvl w:val="0"/>
                <w:numId w:val="14"/>
              </w:numPr>
              <w:ind w:left="345" w:hanging="283"/>
            </w:pPr>
            <w:r>
              <w:t>Sept 2017</w:t>
            </w:r>
          </w:p>
          <w:p w:rsidR="000C5A3F" w:rsidRDefault="000C5A3F" w:rsidP="00483F63">
            <w:pPr>
              <w:pStyle w:val="ListParagraph"/>
              <w:numPr>
                <w:ilvl w:val="0"/>
                <w:numId w:val="14"/>
              </w:numPr>
              <w:ind w:left="345" w:hanging="283"/>
            </w:pPr>
            <w:r>
              <w:t>Ongoing</w:t>
            </w:r>
          </w:p>
          <w:p w:rsidR="000C5A3F" w:rsidRPr="00433981" w:rsidRDefault="000C5A3F" w:rsidP="00483F63">
            <w:pPr>
              <w:pStyle w:val="ListParagraph"/>
              <w:numPr>
                <w:ilvl w:val="0"/>
                <w:numId w:val="14"/>
              </w:numPr>
              <w:ind w:left="345" w:hanging="283"/>
            </w:pPr>
            <w:r>
              <w:t>May 2017 Ongoing</w:t>
            </w:r>
          </w:p>
        </w:tc>
      </w:tr>
      <w:tr w:rsidR="00D13A67" w:rsidTr="00483F63">
        <w:trPr>
          <w:trHeight w:val="1191"/>
          <w:jc w:val="center"/>
        </w:trPr>
        <w:tc>
          <w:tcPr>
            <w:tcW w:w="568" w:type="pct"/>
            <w:vMerge/>
            <w:shd w:val="clear" w:color="auto" w:fill="FDE9D9" w:themeFill="accent6" w:themeFillTint="33"/>
          </w:tcPr>
          <w:p w:rsidR="0088422F" w:rsidRDefault="0088422F" w:rsidP="00033809">
            <w:pPr>
              <w:contextualSpacing/>
            </w:pPr>
          </w:p>
        </w:tc>
        <w:tc>
          <w:tcPr>
            <w:tcW w:w="748" w:type="pct"/>
            <w:gridSpan w:val="2"/>
            <w:shd w:val="clear" w:color="auto" w:fill="ECF3FA"/>
            <w:vAlign w:val="center"/>
          </w:tcPr>
          <w:p w:rsidR="0088422F" w:rsidRDefault="0088422F" w:rsidP="00033809">
            <w:pPr>
              <w:contextualSpacing/>
            </w:pPr>
            <w:r>
              <w:t>Recovery project efforts are viewed as authentic, responsive and effective.</w:t>
            </w:r>
          </w:p>
        </w:tc>
        <w:tc>
          <w:tcPr>
            <w:tcW w:w="1220" w:type="pct"/>
            <w:shd w:val="clear" w:color="auto" w:fill="ECF3FA"/>
          </w:tcPr>
          <w:p w:rsidR="0088422F" w:rsidRPr="00080B4F" w:rsidRDefault="0088422F" w:rsidP="00483F63">
            <w:pPr>
              <w:pStyle w:val="ListParagraph"/>
              <w:numPr>
                <w:ilvl w:val="0"/>
                <w:numId w:val="12"/>
              </w:numPr>
              <w:ind w:left="243" w:hanging="218"/>
            </w:pPr>
            <w:r>
              <w:t>O</w:t>
            </w:r>
            <w:r w:rsidRPr="00080B4F">
              <w:t xml:space="preserve">ngoing media/public feedback from community, elected members and MCDEM </w:t>
            </w:r>
          </w:p>
          <w:p w:rsidR="0088422F" w:rsidRPr="00080B4F" w:rsidRDefault="0088422F" w:rsidP="00483F63">
            <w:pPr>
              <w:pStyle w:val="ListParagraph"/>
              <w:numPr>
                <w:ilvl w:val="0"/>
                <w:numId w:val="12"/>
              </w:numPr>
              <w:ind w:left="243" w:hanging="218"/>
            </w:pPr>
            <w:r>
              <w:t>R</w:t>
            </w:r>
            <w:r w:rsidRPr="00080B4F">
              <w:t>esponsiveness (attendance and contributions) with engagement activities</w:t>
            </w:r>
          </w:p>
          <w:p w:rsidR="0088422F" w:rsidRDefault="0088422F" w:rsidP="00483F63">
            <w:pPr>
              <w:pStyle w:val="ListParagraph"/>
              <w:numPr>
                <w:ilvl w:val="0"/>
                <w:numId w:val="12"/>
              </w:numPr>
              <w:ind w:left="243" w:hanging="218"/>
            </w:pPr>
            <w:r>
              <w:t>C</w:t>
            </w:r>
            <w:r w:rsidRPr="00080B4F">
              <w:t>ommunity focus group, rural and social stakeholders reporting</w:t>
            </w:r>
          </w:p>
        </w:tc>
        <w:tc>
          <w:tcPr>
            <w:tcW w:w="1447" w:type="pct"/>
            <w:shd w:val="clear" w:color="auto" w:fill="ECF3FA"/>
          </w:tcPr>
          <w:p w:rsidR="00332EF5" w:rsidRDefault="00332EF5" w:rsidP="00483F63">
            <w:pPr>
              <w:pStyle w:val="ListParagraph"/>
              <w:numPr>
                <w:ilvl w:val="0"/>
                <w:numId w:val="15"/>
              </w:numPr>
            </w:pPr>
            <w:r>
              <w:t>Signage for “our homes and people need some care”</w:t>
            </w:r>
          </w:p>
          <w:p w:rsidR="0088422F" w:rsidRDefault="0088422F" w:rsidP="00483F63">
            <w:pPr>
              <w:pStyle w:val="ListParagraph"/>
              <w:numPr>
                <w:ilvl w:val="0"/>
                <w:numId w:val="15"/>
              </w:numPr>
            </w:pPr>
            <w:r>
              <w:t>A range of reactive and proactive strategies to engage affected rural individuals and families to build strong support networks are provided, including:</w:t>
            </w:r>
          </w:p>
          <w:p w:rsidR="0088422F" w:rsidRDefault="0088422F" w:rsidP="00483F63">
            <w:pPr>
              <w:pStyle w:val="ListParagraph"/>
              <w:numPr>
                <w:ilvl w:val="0"/>
                <w:numId w:val="19"/>
              </w:numPr>
            </w:pPr>
            <w:r>
              <w:t>Good yarn workshops</w:t>
            </w:r>
          </w:p>
          <w:p w:rsidR="0088422F" w:rsidRDefault="0088422F" w:rsidP="00483F63">
            <w:pPr>
              <w:pStyle w:val="ListParagraph"/>
              <w:numPr>
                <w:ilvl w:val="0"/>
                <w:numId w:val="19"/>
              </w:numPr>
            </w:pPr>
            <w:r>
              <w:t>Local BBQs</w:t>
            </w:r>
          </w:p>
          <w:p w:rsidR="0088422F" w:rsidRDefault="0088422F" w:rsidP="00483F63">
            <w:pPr>
              <w:pStyle w:val="ListParagraph"/>
              <w:numPr>
                <w:ilvl w:val="0"/>
                <w:numId w:val="19"/>
              </w:numPr>
            </w:pPr>
            <w:r>
              <w:t>Dairy NZ discussion groups</w:t>
            </w:r>
          </w:p>
          <w:p w:rsidR="0088422F" w:rsidRDefault="0088422F" w:rsidP="00483F63">
            <w:pPr>
              <w:pStyle w:val="ListParagraph"/>
              <w:numPr>
                <w:ilvl w:val="0"/>
                <w:numId w:val="19"/>
              </w:numPr>
            </w:pPr>
            <w:r>
              <w:t>Field days</w:t>
            </w:r>
          </w:p>
          <w:p w:rsidR="0088422F" w:rsidRDefault="009457EB" w:rsidP="00483F63">
            <w:pPr>
              <w:pStyle w:val="ListParagraph"/>
              <w:numPr>
                <w:ilvl w:val="0"/>
                <w:numId w:val="19"/>
              </w:numPr>
            </w:pPr>
            <w:r>
              <w:t>Rural women gatherings.</w:t>
            </w:r>
          </w:p>
          <w:p w:rsidR="0076036D" w:rsidRDefault="0076036D" w:rsidP="00483F63">
            <w:pPr>
              <w:pStyle w:val="ListParagraph"/>
              <w:numPr>
                <w:ilvl w:val="0"/>
                <w:numId w:val="15"/>
              </w:numPr>
            </w:pPr>
            <w:r>
              <w:t xml:space="preserve"> A calendar of monthly events and community development activities has been planned out to reach a wide range of the community, including school holiday care programme.</w:t>
            </w:r>
          </w:p>
          <w:p w:rsidR="0076036D" w:rsidRDefault="0076036D" w:rsidP="00483F63">
            <w:pPr>
              <w:pStyle w:val="ListParagraph"/>
              <w:numPr>
                <w:ilvl w:val="0"/>
                <w:numId w:val="15"/>
              </w:numPr>
            </w:pPr>
            <w:r>
              <w:t>Community expo’s and open days will be held to provide timely information to affected residents on a range of topics (e.g. insurance, health, Liveable Homes Project, Worksafe etc.)</w:t>
            </w:r>
          </w:p>
          <w:p w:rsidR="00D13D33" w:rsidRDefault="00D13D33" w:rsidP="00483F63">
            <w:pPr>
              <w:pStyle w:val="ListParagraph"/>
              <w:numPr>
                <w:ilvl w:val="0"/>
                <w:numId w:val="15"/>
              </w:numPr>
            </w:pPr>
            <w:r>
              <w:t>Community Focus Groups held regularly.</w:t>
            </w:r>
          </w:p>
        </w:tc>
        <w:tc>
          <w:tcPr>
            <w:tcW w:w="502" w:type="pct"/>
            <w:shd w:val="clear" w:color="auto" w:fill="ECF3FA"/>
          </w:tcPr>
          <w:p w:rsidR="00332EF5" w:rsidRDefault="00332EF5" w:rsidP="00483F63">
            <w:pPr>
              <w:pStyle w:val="ListParagraph"/>
              <w:numPr>
                <w:ilvl w:val="0"/>
                <w:numId w:val="20"/>
              </w:numPr>
              <w:ind w:left="402" w:hanging="402"/>
            </w:pPr>
            <w:r>
              <w:t>WRO</w:t>
            </w:r>
          </w:p>
          <w:p w:rsidR="0088422F" w:rsidRDefault="0076036D" w:rsidP="00483F63">
            <w:pPr>
              <w:pStyle w:val="ListParagraph"/>
              <w:numPr>
                <w:ilvl w:val="0"/>
                <w:numId w:val="20"/>
              </w:numPr>
              <w:ind w:left="402" w:hanging="402"/>
            </w:pPr>
            <w:r>
              <w:t xml:space="preserve">RST, </w:t>
            </w:r>
            <w:r w:rsidR="0088422F">
              <w:t>RAG</w:t>
            </w:r>
            <w:r>
              <w:t xml:space="preserve">, </w:t>
            </w:r>
            <w:r w:rsidR="0088422F">
              <w:t>BOPDHB</w:t>
            </w:r>
            <w:r>
              <w:t xml:space="preserve">, </w:t>
            </w:r>
            <w:r w:rsidR="0088422F">
              <w:t>EBPHO</w:t>
            </w:r>
          </w:p>
          <w:p w:rsidR="0076036D" w:rsidRDefault="0076036D" w:rsidP="00483F63">
            <w:pPr>
              <w:pStyle w:val="ListParagraph"/>
              <w:numPr>
                <w:ilvl w:val="0"/>
                <w:numId w:val="20"/>
              </w:numPr>
              <w:ind w:left="402" w:hanging="402"/>
            </w:pPr>
            <w:r>
              <w:t>WRO</w:t>
            </w:r>
          </w:p>
          <w:p w:rsidR="0076036D" w:rsidRDefault="0076036D" w:rsidP="00483F63">
            <w:pPr>
              <w:pStyle w:val="ListParagraph"/>
              <w:numPr>
                <w:ilvl w:val="0"/>
                <w:numId w:val="20"/>
              </w:numPr>
              <w:ind w:left="402" w:hanging="402"/>
            </w:pPr>
            <w:r>
              <w:t>WRO/RCB</w:t>
            </w:r>
          </w:p>
          <w:p w:rsidR="00D13D33" w:rsidRDefault="00D13D33" w:rsidP="00483F63">
            <w:pPr>
              <w:pStyle w:val="ListParagraph"/>
              <w:numPr>
                <w:ilvl w:val="0"/>
                <w:numId w:val="20"/>
              </w:numPr>
              <w:ind w:left="402" w:hanging="402"/>
            </w:pPr>
            <w:r>
              <w:t>5. WRO / Community Focus Group</w:t>
            </w:r>
          </w:p>
        </w:tc>
        <w:tc>
          <w:tcPr>
            <w:tcW w:w="515" w:type="pct"/>
            <w:shd w:val="clear" w:color="auto" w:fill="ECF3FA"/>
          </w:tcPr>
          <w:p w:rsidR="00332EF5" w:rsidRDefault="00332EF5" w:rsidP="00483F63">
            <w:pPr>
              <w:pStyle w:val="ListParagraph"/>
              <w:numPr>
                <w:ilvl w:val="0"/>
                <w:numId w:val="31"/>
              </w:numPr>
              <w:ind w:left="345" w:hanging="283"/>
            </w:pPr>
            <w:r>
              <w:t>May 2017</w:t>
            </w:r>
          </w:p>
          <w:p w:rsidR="0076036D" w:rsidRDefault="0088422F" w:rsidP="00483F63">
            <w:pPr>
              <w:pStyle w:val="ListParagraph"/>
              <w:numPr>
                <w:ilvl w:val="0"/>
                <w:numId w:val="31"/>
              </w:numPr>
              <w:ind w:left="345" w:hanging="283"/>
            </w:pPr>
            <w:r>
              <w:t>Ongoing (start May 2017)</w:t>
            </w:r>
          </w:p>
          <w:p w:rsidR="0076036D" w:rsidRDefault="0076036D" w:rsidP="00483F63">
            <w:pPr>
              <w:pStyle w:val="ListParagraph"/>
              <w:numPr>
                <w:ilvl w:val="0"/>
                <w:numId w:val="31"/>
              </w:numPr>
              <w:ind w:left="345" w:hanging="283"/>
            </w:pPr>
            <w:r>
              <w:t>June 2017</w:t>
            </w:r>
          </w:p>
          <w:p w:rsidR="0076036D" w:rsidRDefault="0076036D" w:rsidP="00483F63">
            <w:pPr>
              <w:pStyle w:val="ListParagraph"/>
              <w:numPr>
                <w:ilvl w:val="0"/>
                <w:numId w:val="31"/>
              </w:numPr>
              <w:ind w:left="345" w:hanging="283"/>
            </w:pPr>
            <w:r>
              <w:t>May2017</w:t>
            </w:r>
          </w:p>
          <w:p w:rsidR="0076036D" w:rsidRDefault="0076036D" w:rsidP="00483F63">
            <w:pPr>
              <w:pStyle w:val="ListParagraph"/>
              <w:numPr>
                <w:ilvl w:val="0"/>
                <w:numId w:val="31"/>
              </w:numPr>
              <w:ind w:left="345" w:hanging="283"/>
            </w:pPr>
            <w:r>
              <w:t>July 2017</w:t>
            </w:r>
            <w:r w:rsidR="00D13D33">
              <w:t xml:space="preserve"> ongoing</w:t>
            </w:r>
          </w:p>
          <w:p w:rsidR="0076036D" w:rsidRDefault="0076036D" w:rsidP="00483F63">
            <w:pPr>
              <w:ind w:left="62"/>
            </w:pPr>
          </w:p>
        </w:tc>
      </w:tr>
      <w:tr w:rsidR="00D13A67" w:rsidTr="00483F63">
        <w:trPr>
          <w:jc w:val="center"/>
        </w:trPr>
        <w:tc>
          <w:tcPr>
            <w:tcW w:w="568" w:type="pct"/>
            <w:vMerge/>
            <w:shd w:val="clear" w:color="auto" w:fill="FDE9D9" w:themeFill="accent6" w:themeFillTint="33"/>
          </w:tcPr>
          <w:p w:rsidR="0088422F" w:rsidRDefault="0088422F" w:rsidP="00033809">
            <w:pPr>
              <w:contextualSpacing/>
            </w:pPr>
          </w:p>
        </w:tc>
        <w:tc>
          <w:tcPr>
            <w:tcW w:w="748" w:type="pct"/>
            <w:gridSpan w:val="2"/>
            <w:shd w:val="clear" w:color="auto" w:fill="ECF3FA"/>
            <w:vAlign w:val="center"/>
          </w:tcPr>
          <w:p w:rsidR="0088422F" w:rsidRPr="00B36E77" w:rsidRDefault="0088422F" w:rsidP="00033809">
            <w:pPr>
              <w:contextualSpacing/>
            </w:pPr>
            <w:r>
              <w:t>Elected members understand community expectations when making decisions that affect residents’ future wellbeing.</w:t>
            </w:r>
          </w:p>
        </w:tc>
        <w:tc>
          <w:tcPr>
            <w:tcW w:w="1220" w:type="pct"/>
            <w:shd w:val="clear" w:color="auto" w:fill="ECF3FA"/>
          </w:tcPr>
          <w:p w:rsidR="0088422F" w:rsidRPr="00433981" w:rsidRDefault="0088422F" w:rsidP="00483F63">
            <w:pPr>
              <w:pStyle w:val="ListParagraph"/>
              <w:numPr>
                <w:ilvl w:val="0"/>
                <w:numId w:val="12"/>
              </w:numPr>
              <w:ind w:left="243" w:hanging="218"/>
              <w:rPr>
                <w:rFonts w:cs="Times New Roman"/>
                <w:b/>
                <w:bCs/>
                <w:sz w:val="28"/>
                <w:szCs w:val="24"/>
              </w:rPr>
            </w:pPr>
            <w:r>
              <w:t>Any outcomes from community engagement are clearly identified and reported.</w:t>
            </w:r>
          </w:p>
          <w:p w:rsidR="0088422F" w:rsidRPr="00B36E77" w:rsidRDefault="0088422F" w:rsidP="00483F63">
            <w:pPr>
              <w:pStyle w:val="ListParagraph"/>
              <w:numPr>
                <w:ilvl w:val="0"/>
                <w:numId w:val="12"/>
              </w:numPr>
              <w:ind w:left="243" w:hanging="218"/>
              <w:rPr>
                <w:rFonts w:cs="Times New Roman"/>
                <w:b/>
                <w:bCs/>
                <w:sz w:val="28"/>
                <w:szCs w:val="24"/>
              </w:rPr>
            </w:pPr>
            <w:r w:rsidRPr="00080B4F">
              <w:t>Feedback is provided to all stakeholders on progress of decision-making</w:t>
            </w:r>
            <w:r>
              <w:t>.</w:t>
            </w:r>
          </w:p>
        </w:tc>
        <w:tc>
          <w:tcPr>
            <w:tcW w:w="1447" w:type="pct"/>
            <w:shd w:val="clear" w:color="auto" w:fill="ECF3FA"/>
          </w:tcPr>
          <w:p w:rsidR="0088422F" w:rsidRDefault="0061226B" w:rsidP="00483F63">
            <w:pPr>
              <w:pStyle w:val="ListParagraph"/>
              <w:numPr>
                <w:ilvl w:val="0"/>
                <w:numId w:val="21"/>
              </w:numPr>
            </w:pPr>
            <w:r>
              <w:t>Elected members are regularly updated on Recovery progress, issues, risks and community feedback.</w:t>
            </w:r>
          </w:p>
          <w:p w:rsidR="0061226B" w:rsidRPr="00433981" w:rsidRDefault="0061226B" w:rsidP="00483F63">
            <w:pPr>
              <w:pStyle w:val="ListParagraph"/>
              <w:numPr>
                <w:ilvl w:val="0"/>
                <w:numId w:val="21"/>
              </w:numPr>
            </w:pPr>
            <w:r>
              <w:t xml:space="preserve">Elected members, particularly the Rangitāiki </w:t>
            </w:r>
            <w:r w:rsidR="00F07D82">
              <w:t>C</w:t>
            </w:r>
            <w:r>
              <w:t>ommunity Board members, are actively involved in recovery projects.</w:t>
            </w:r>
          </w:p>
        </w:tc>
        <w:tc>
          <w:tcPr>
            <w:tcW w:w="502" w:type="pct"/>
            <w:shd w:val="clear" w:color="auto" w:fill="ECF3FA"/>
          </w:tcPr>
          <w:p w:rsidR="0088422F" w:rsidRDefault="0061226B" w:rsidP="00483F63">
            <w:pPr>
              <w:pStyle w:val="ListParagraph"/>
              <w:numPr>
                <w:ilvl w:val="0"/>
                <w:numId w:val="22"/>
              </w:numPr>
            </w:pPr>
            <w:r>
              <w:t>WRO</w:t>
            </w:r>
          </w:p>
          <w:p w:rsidR="0061226B" w:rsidRPr="00433981" w:rsidRDefault="0061226B" w:rsidP="00483F63">
            <w:pPr>
              <w:pStyle w:val="ListParagraph"/>
              <w:numPr>
                <w:ilvl w:val="0"/>
                <w:numId w:val="22"/>
              </w:numPr>
            </w:pPr>
            <w:r>
              <w:t>Elected members</w:t>
            </w:r>
          </w:p>
        </w:tc>
        <w:tc>
          <w:tcPr>
            <w:tcW w:w="515" w:type="pct"/>
            <w:shd w:val="clear" w:color="auto" w:fill="ECF3FA"/>
          </w:tcPr>
          <w:p w:rsidR="0088422F" w:rsidRDefault="0061226B" w:rsidP="00483F63">
            <w:pPr>
              <w:pStyle w:val="ListParagraph"/>
              <w:numPr>
                <w:ilvl w:val="0"/>
                <w:numId w:val="32"/>
              </w:numPr>
              <w:ind w:left="345" w:hanging="283"/>
            </w:pPr>
            <w:r>
              <w:t>April 2017 (ongoing)</w:t>
            </w:r>
          </w:p>
          <w:p w:rsidR="0061226B" w:rsidRPr="00433981" w:rsidRDefault="00D13A67" w:rsidP="00483F63">
            <w:pPr>
              <w:pStyle w:val="ListParagraph"/>
              <w:numPr>
                <w:ilvl w:val="0"/>
                <w:numId w:val="32"/>
              </w:numPr>
              <w:ind w:left="345" w:hanging="283"/>
            </w:pPr>
            <w:r>
              <w:t>May (ongoing)</w:t>
            </w:r>
          </w:p>
        </w:tc>
      </w:tr>
      <w:tr w:rsidR="00D13A67" w:rsidTr="00483F63">
        <w:trPr>
          <w:jc w:val="center"/>
        </w:trPr>
        <w:tc>
          <w:tcPr>
            <w:tcW w:w="568" w:type="pct"/>
            <w:vMerge/>
            <w:shd w:val="clear" w:color="auto" w:fill="DBE5F1" w:themeFill="accent1" w:themeFillTint="33"/>
          </w:tcPr>
          <w:p w:rsidR="0088422F" w:rsidRPr="003E25EC" w:rsidRDefault="0088422F" w:rsidP="003E25EC">
            <w:pPr>
              <w:contextualSpacing/>
              <w:jc w:val="center"/>
              <w:rPr>
                <w:rFonts w:eastAsia="Times New Roman" w:cs="Times New Roman"/>
                <w:b/>
                <w:color w:val="0F243E" w:themeColor="text2" w:themeShade="80"/>
                <w:sz w:val="28"/>
                <w:szCs w:val="28"/>
                <w:lang w:eastAsia="en-AU"/>
              </w:rPr>
            </w:pPr>
          </w:p>
        </w:tc>
        <w:tc>
          <w:tcPr>
            <w:tcW w:w="748" w:type="pct"/>
            <w:gridSpan w:val="2"/>
            <w:shd w:val="clear" w:color="auto" w:fill="ECF3FA"/>
            <w:vAlign w:val="center"/>
          </w:tcPr>
          <w:p w:rsidR="0088422F" w:rsidRDefault="0088422F" w:rsidP="00033809">
            <w:pPr>
              <w:contextualSpacing/>
            </w:pPr>
            <w:r>
              <w:t>Iwi are recognised as partners in the recovery process.</w:t>
            </w:r>
          </w:p>
        </w:tc>
        <w:tc>
          <w:tcPr>
            <w:tcW w:w="1220" w:type="pct"/>
            <w:shd w:val="clear" w:color="auto" w:fill="ECF3FA"/>
          </w:tcPr>
          <w:p w:rsidR="0088422F" w:rsidRDefault="0088422F" w:rsidP="00483F63">
            <w:pPr>
              <w:pStyle w:val="ListParagraph"/>
              <w:numPr>
                <w:ilvl w:val="0"/>
                <w:numId w:val="12"/>
              </w:numPr>
              <w:ind w:left="243" w:hanging="218"/>
            </w:pPr>
            <w:r>
              <w:t>Community partners, including Iwi, convene and collaborate on joined up wrap-around services delivery for the wellbeing of affected residents (Navigator Service).</w:t>
            </w:r>
          </w:p>
          <w:p w:rsidR="0088422F" w:rsidRDefault="0088422F" w:rsidP="00483F63">
            <w:pPr>
              <w:pStyle w:val="ListParagraph"/>
              <w:numPr>
                <w:ilvl w:val="0"/>
                <w:numId w:val="12"/>
              </w:numPr>
              <w:ind w:left="243" w:hanging="218"/>
            </w:pPr>
            <w:r>
              <w:lastRenderedPageBreak/>
              <w:t>Community partners, including Iwi, collaborate and wrap-around any environmental issues that may arise from the flood.</w:t>
            </w:r>
          </w:p>
        </w:tc>
        <w:tc>
          <w:tcPr>
            <w:tcW w:w="1447" w:type="pct"/>
            <w:shd w:val="clear" w:color="auto" w:fill="ECF3FA"/>
          </w:tcPr>
          <w:p w:rsidR="0088422F" w:rsidRDefault="0088422F" w:rsidP="00483F63">
            <w:pPr>
              <w:pStyle w:val="ListParagraph"/>
              <w:numPr>
                <w:ilvl w:val="0"/>
                <w:numId w:val="27"/>
              </w:numPr>
            </w:pPr>
            <w:r>
              <w:lastRenderedPageBreak/>
              <w:t>All parties continue to engage on a regular basis on community wellbeing issues and environmental issues.</w:t>
            </w:r>
          </w:p>
          <w:p w:rsidR="0088422F" w:rsidRDefault="0088422F" w:rsidP="00483F63">
            <w:pPr>
              <w:pStyle w:val="ListParagraph"/>
              <w:numPr>
                <w:ilvl w:val="0"/>
                <w:numId w:val="27"/>
              </w:numPr>
            </w:pPr>
            <w:r>
              <w:t>Stakeholder perception survey on environmental issues is developed and undertaken and demonstrates greater than 75% satisfactory involvement in environmental issues.</w:t>
            </w:r>
          </w:p>
          <w:p w:rsidR="00F07D82" w:rsidRDefault="0076036D" w:rsidP="00483F63">
            <w:pPr>
              <w:pStyle w:val="ListParagraph"/>
              <w:numPr>
                <w:ilvl w:val="0"/>
                <w:numId w:val="27"/>
              </w:numPr>
            </w:pPr>
            <w:r>
              <w:lastRenderedPageBreak/>
              <w:t xml:space="preserve">Community Engagement Plan developed which incorporates </w:t>
            </w:r>
          </w:p>
          <w:p w:rsidR="0076036D" w:rsidRPr="00433981" w:rsidRDefault="0076036D" w:rsidP="00483F63">
            <w:pPr>
              <w:pStyle w:val="ListParagraph"/>
              <w:ind w:left="385"/>
            </w:pPr>
            <w:r>
              <w:t>Partnership Plan</w:t>
            </w:r>
          </w:p>
        </w:tc>
        <w:tc>
          <w:tcPr>
            <w:tcW w:w="502" w:type="pct"/>
            <w:shd w:val="clear" w:color="auto" w:fill="ECF3FA"/>
          </w:tcPr>
          <w:p w:rsidR="0088422F" w:rsidRDefault="0088422F" w:rsidP="00483F63">
            <w:pPr>
              <w:pStyle w:val="ListParagraph"/>
              <w:numPr>
                <w:ilvl w:val="0"/>
                <w:numId w:val="23"/>
              </w:numPr>
            </w:pPr>
            <w:r>
              <w:lastRenderedPageBreak/>
              <w:t>WRO</w:t>
            </w:r>
          </w:p>
          <w:p w:rsidR="0088422F" w:rsidRDefault="0088422F" w:rsidP="00483F63">
            <w:pPr>
              <w:pStyle w:val="ListParagraph"/>
              <w:numPr>
                <w:ilvl w:val="0"/>
                <w:numId w:val="23"/>
              </w:numPr>
            </w:pPr>
            <w:r>
              <w:t>WRO</w:t>
            </w:r>
          </w:p>
          <w:p w:rsidR="0076036D" w:rsidRPr="00433981" w:rsidRDefault="0076036D" w:rsidP="00483F63">
            <w:pPr>
              <w:pStyle w:val="ListParagraph"/>
              <w:numPr>
                <w:ilvl w:val="0"/>
                <w:numId w:val="23"/>
              </w:numPr>
            </w:pPr>
            <w:r>
              <w:t>WRO</w:t>
            </w:r>
          </w:p>
        </w:tc>
        <w:tc>
          <w:tcPr>
            <w:tcW w:w="515" w:type="pct"/>
            <w:shd w:val="clear" w:color="auto" w:fill="ECF3FA"/>
          </w:tcPr>
          <w:p w:rsidR="0088422F" w:rsidRDefault="0088422F" w:rsidP="00483F63">
            <w:pPr>
              <w:pStyle w:val="ListParagraph"/>
              <w:numPr>
                <w:ilvl w:val="0"/>
                <w:numId w:val="33"/>
              </w:numPr>
              <w:ind w:left="345" w:hanging="283"/>
            </w:pPr>
            <w:r>
              <w:t>July 2017</w:t>
            </w:r>
          </w:p>
          <w:p w:rsidR="0088422F" w:rsidRDefault="00D13A67" w:rsidP="00483F63">
            <w:pPr>
              <w:pStyle w:val="ListParagraph"/>
              <w:numPr>
                <w:ilvl w:val="0"/>
                <w:numId w:val="33"/>
              </w:numPr>
              <w:ind w:left="345" w:hanging="283"/>
            </w:pPr>
            <w:r>
              <w:t>Nov</w:t>
            </w:r>
            <w:r w:rsidR="0088422F">
              <w:t xml:space="preserve"> 2017</w:t>
            </w:r>
          </w:p>
          <w:p w:rsidR="00D13A67" w:rsidRDefault="00D13A67" w:rsidP="00483F63">
            <w:pPr>
              <w:pStyle w:val="ListParagraph"/>
              <w:numPr>
                <w:ilvl w:val="0"/>
                <w:numId w:val="33"/>
              </w:numPr>
              <w:ind w:left="345" w:hanging="283"/>
            </w:pPr>
            <w:r>
              <w:t>August 2017</w:t>
            </w:r>
          </w:p>
          <w:p w:rsidR="0088422F" w:rsidRPr="00433981" w:rsidRDefault="0088422F" w:rsidP="00483F63">
            <w:pPr>
              <w:pStyle w:val="ListParagraph"/>
              <w:ind w:left="345"/>
            </w:pPr>
          </w:p>
        </w:tc>
      </w:tr>
      <w:tr w:rsidR="00D13A67" w:rsidTr="00483F63">
        <w:trPr>
          <w:jc w:val="center"/>
        </w:trPr>
        <w:tc>
          <w:tcPr>
            <w:tcW w:w="568" w:type="pct"/>
            <w:vMerge/>
            <w:shd w:val="clear" w:color="auto" w:fill="DBE5F1" w:themeFill="accent1" w:themeFillTint="33"/>
          </w:tcPr>
          <w:p w:rsidR="0088422F" w:rsidRPr="003E25EC" w:rsidRDefault="0088422F" w:rsidP="003E25EC">
            <w:pPr>
              <w:contextualSpacing/>
              <w:jc w:val="center"/>
              <w:rPr>
                <w:rFonts w:eastAsia="Times New Roman" w:cs="Times New Roman"/>
                <w:b/>
                <w:color w:val="0F243E" w:themeColor="text2" w:themeShade="80"/>
                <w:sz w:val="28"/>
                <w:szCs w:val="28"/>
                <w:lang w:eastAsia="en-AU"/>
              </w:rPr>
            </w:pPr>
          </w:p>
        </w:tc>
        <w:tc>
          <w:tcPr>
            <w:tcW w:w="748" w:type="pct"/>
            <w:gridSpan w:val="2"/>
            <w:shd w:val="clear" w:color="auto" w:fill="ECF3FA"/>
            <w:vAlign w:val="center"/>
          </w:tcPr>
          <w:p w:rsidR="0088422F" w:rsidRDefault="0088422F" w:rsidP="00033809">
            <w:pPr>
              <w:contextualSpacing/>
            </w:pPr>
            <w:r>
              <w:t>Appropriate kaupapa for koiwi, archaeology, is utilised for flood repair works.</w:t>
            </w:r>
          </w:p>
        </w:tc>
        <w:tc>
          <w:tcPr>
            <w:tcW w:w="1220" w:type="pct"/>
            <w:shd w:val="clear" w:color="auto" w:fill="ECF3FA"/>
          </w:tcPr>
          <w:p w:rsidR="0088422F" w:rsidRDefault="0088422F" w:rsidP="00483F63">
            <w:pPr>
              <w:pStyle w:val="ListParagraph"/>
              <w:numPr>
                <w:ilvl w:val="0"/>
                <w:numId w:val="12"/>
              </w:numPr>
              <w:ind w:left="243" w:hanging="218"/>
            </w:pPr>
            <w:r>
              <w:t>Educational material is easily accessible to rural community about the process/protocols to follow on the discovery of potential koiwi.</w:t>
            </w:r>
          </w:p>
        </w:tc>
        <w:tc>
          <w:tcPr>
            <w:tcW w:w="1447" w:type="pct"/>
            <w:shd w:val="clear" w:color="auto" w:fill="ECF3FA"/>
          </w:tcPr>
          <w:p w:rsidR="0088422F" w:rsidRDefault="0088422F" w:rsidP="00483F63">
            <w:pPr>
              <w:pStyle w:val="ListParagraph"/>
              <w:numPr>
                <w:ilvl w:val="0"/>
                <w:numId w:val="28"/>
              </w:numPr>
            </w:pPr>
            <w:r>
              <w:t>Clear messaging is delivered to the rural community.</w:t>
            </w:r>
          </w:p>
        </w:tc>
        <w:tc>
          <w:tcPr>
            <w:tcW w:w="502" w:type="pct"/>
            <w:shd w:val="clear" w:color="auto" w:fill="ECF3FA"/>
          </w:tcPr>
          <w:p w:rsidR="0088422F" w:rsidRDefault="0088422F" w:rsidP="00483F63">
            <w:pPr>
              <w:pStyle w:val="ListParagraph"/>
              <w:numPr>
                <w:ilvl w:val="0"/>
                <w:numId w:val="24"/>
              </w:numPr>
            </w:pPr>
            <w:r>
              <w:t>BOPRC</w:t>
            </w:r>
          </w:p>
        </w:tc>
        <w:tc>
          <w:tcPr>
            <w:tcW w:w="515" w:type="pct"/>
            <w:shd w:val="clear" w:color="auto" w:fill="ECF3FA"/>
          </w:tcPr>
          <w:p w:rsidR="0088422F" w:rsidRDefault="0088422F" w:rsidP="00483F63">
            <w:pPr>
              <w:pStyle w:val="ListParagraph"/>
              <w:numPr>
                <w:ilvl w:val="0"/>
                <w:numId w:val="34"/>
              </w:numPr>
              <w:ind w:left="345" w:hanging="283"/>
            </w:pPr>
            <w:r>
              <w:t>May 2017</w:t>
            </w:r>
          </w:p>
        </w:tc>
      </w:tr>
      <w:tr w:rsidR="00D13A67" w:rsidTr="00483F63">
        <w:trPr>
          <w:jc w:val="center"/>
        </w:trPr>
        <w:tc>
          <w:tcPr>
            <w:tcW w:w="568" w:type="pct"/>
            <w:vMerge/>
            <w:shd w:val="clear" w:color="auto" w:fill="DBE5F1" w:themeFill="accent1" w:themeFillTint="33"/>
          </w:tcPr>
          <w:p w:rsidR="0088422F" w:rsidRPr="003E25EC" w:rsidRDefault="0088422F" w:rsidP="003E25EC">
            <w:pPr>
              <w:contextualSpacing/>
              <w:jc w:val="center"/>
              <w:rPr>
                <w:rFonts w:eastAsia="Times New Roman" w:cs="Times New Roman"/>
                <w:b/>
                <w:color w:val="0F243E" w:themeColor="text2" w:themeShade="80"/>
                <w:sz w:val="28"/>
                <w:szCs w:val="28"/>
                <w:lang w:eastAsia="en-AU"/>
              </w:rPr>
            </w:pPr>
          </w:p>
        </w:tc>
        <w:tc>
          <w:tcPr>
            <w:tcW w:w="748" w:type="pct"/>
            <w:gridSpan w:val="2"/>
            <w:shd w:val="clear" w:color="auto" w:fill="ECF3FA"/>
            <w:vAlign w:val="center"/>
          </w:tcPr>
          <w:p w:rsidR="0088422F" w:rsidRDefault="0088422F" w:rsidP="00033809">
            <w:pPr>
              <w:contextualSpacing/>
            </w:pPr>
            <w:r>
              <w:t>The community is empowered to plan for the future.</w:t>
            </w:r>
          </w:p>
        </w:tc>
        <w:tc>
          <w:tcPr>
            <w:tcW w:w="1220" w:type="pct"/>
            <w:shd w:val="clear" w:color="auto" w:fill="ECF3FA"/>
          </w:tcPr>
          <w:p w:rsidR="0088422F" w:rsidRDefault="0088422F" w:rsidP="00483F63">
            <w:pPr>
              <w:pStyle w:val="ListParagraph"/>
              <w:numPr>
                <w:ilvl w:val="0"/>
                <w:numId w:val="12"/>
              </w:numPr>
              <w:ind w:left="243" w:hanging="218"/>
            </w:pPr>
            <w:r>
              <w:t>Community participation in vision and planning workshops.</w:t>
            </w:r>
          </w:p>
        </w:tc>
        <w:tc>
          <w:tcPr>
            <w:tcW w:w="1447" w:type="pct"/>
            <w:shd w:val="clear" w:color="auto" w:fill="ECF3FA"/>
          </w:tcPr>
          <w:p w:rsidR="0088422F" w:rsidRPr="00433981" w:rsidRDefault="0088422F" w:rsidP="00483F63">
            <w:pPr>
              <w:pStyle w:val="ListParagraph"/>
              <w:numPr>
                <w:ilvl w:val="0"/>
                <w:numId w:val="29"/>
              </w:numPr>
            </w:pPr>
            <w:r>
              <w:t>Community group develops Community Plan with WDC support.</w:t>
            </w:r>
          </w:p>
        </w:tc>
        <w:tc>
          <w:tcPr>
            <w:tcW w:w="502" w:type="pct"/>
            <w:shd w:val="clear" w:color="auto" w:fill="ECF3FA"/>
          </w:tcPr>
          <w:p w:rsidR="0088422F" w:rsidRPr="00433981" w:rsidRDefault="0088422F" w:rsidP="00483F63">
            <w:pPr>
              <w:pStyle w:val="ListParagraph"/>
              <w:numPr>
                <w:ilvl w:val="0"/>
                <w:numId w:val="25"/>
              </w:numPr>
            </w:pPr>
            <w:r>
              <w:t>RCB</w:t>
            </w:r>
          </w:p>
        </w:tc>
        <w:tc>
          <w:tcPr>
            <w:tcW w:w="515" w:type="pct"/>
            <w:shd w:val="clear" w:color="auto" w:fill="ECF3FA"/>
          </w:tcPr>
          <w:p w:rsidR="0088422F" w:rsidRPr="00433981" w:rsidRDefault="0088422F" w:rsidP="00483F63">
            <w:pPr>
              <w:pStyle w:val="ListParagraph"/>
              <w:numPr>
                <w:ilvl w:val="0"/>
                <w:numId w:val="35"/>
              </w:numPr>
              <w:ind w:left="345" w:hanging="283"/>
            </w:pPr>
            <w:r>
              <w:t>TBC</w:t>
            </w:r>
          </w:p>
        </w:tc>
      </w:tr>
      <w:tr w:rsidR="00D13A67" w:rsidTr="00483F63">
        <w:trPr>
          <w:jc w:val="center"/>
        </w:trPr>
        <w:tc>
          <w:tcPr>
            <w:tcW w:w="568" w:type="pct"/>
            <w:vMerge/>
            <w:shd w:val="clear" w:color="auto" w:fill="DBE5F1" w:themeFill="accent1" w:themeFillTint="33"/>
          </w:tcPr>
          <w:p w:rsidR="0088422F" w:rsidRPr="003E25EC" w:rsidRDefault="0088422F" w:rsidP="003E25EC">
            <w:pPr>
              <w:contextualSpacing/>
              <w:jc w:val="center"/>
              <w:rPr>
                <w:rFonts w:eastAsia="Times New Roman" w:cs="Times New Roman"/>
                <w:b/>
                <w:color w:val="0F243E" w:themeColor="text2" w:themeShade="80"/>
                <w:sz w:val="28"/>
                <w:szCs w:val="28"/>
                <w:lang w:eastAsia="en-AU"/>
              </w:rPr>
            </w:pPr>
          </w:p>
        </w:tc>
        <w:tc>
          <w:tcPr>
            <w:tcW w:w="748" w:type="pct"/>
            <w:gridSpan w:val="2"/>
            <w:shd w:val="clear" w:color="auto" w:fill="ECF3FA"/>
            <w:vAlign w:val="center"/>
          </w:tcPr>
          <w:p w:rsidR="0088422F" w:rsidRDefault="0088422F" w:rsidP="00033809">
            <w:pPr>
              <w:contextualSpacing/>
            </w:pPr>
            <w:r>
              <w:t>Community leadership is fostered, empowered and fully engaged in recovery activities.</w:t>
            </w:r>
          </w:p>
        </w:tc>
        <w:tc>
          <w:tcPr>
            <w:tcW w:w="1220" w:type="pct"/>
            <w:shd w:val="clear" w:color="auto" w:fill="ECF3FA"/>
          </w:tcPr>
          <w:p w:rsidR="0088422F" w:rsidRDefault="0088422F" w:rsidP="00483F63">
            <w:pPr>
              <w:pStyle w:val="ListParagraph"/>
              <w:numPr>
                <w:ilvl w:val="0"/>
                <w:numId w:val="12"/>
              </w:numPr>
              <w:ind w:left="243" w:hanging="218"/>
            </w:pPr>
            <w:r>
              <w:t>Community leaders are linked and participate in recovery activities.</w:t>
            </w:r>
          </w:p>
          <w:p w:rsidR="0088422F" w:rsidRDefault="0088422F" w:rsidP="00483F63">
            <w:pPr>
              <w:pStyle w:val="ListParagraph"/>
              <w:numPr>
                <w:ilvl w:val="0"/>
                <w:numId w:val="12"/>
              </w:numPr>
              <w:ind w:left="243" w:hanging="218"/>
            </w:pPr>
            <w:r>
              <w:t>Ongoing meetings as requested.</w:t>
            </w:r>
          </w:p>
        </w:tc>
        <w:tc>
          <w:tcPr>
            <w:tcW w:w="1447" w:type="pct"/>
            <w:shd w:val="clear" w:color="auto" w:fill="ECF3FA"/>
          </w:tcPr>
          <w:p w:rsidR="0088422F" w:rsidRDefault="0088422F" w:rsidP="00483F63">
            <w:pPr>
              <w:pStyle w:val="ListParagraph"/>
              <w:numPr>
                <w:ilvl w:val="0"/>
                <w:numId w:val="30"/>
              </w:numPr>
            </w:pPr>
            <w:r>
              <w:t>Community acknowledge or commemorate event in a way that the community deems appropriate.</w:t>
            </w:r>
          </w:p>
          <w:p w:rsidR="0088422F" w:rsidRDefault="0088422F" w:rsidP="00483F63">
            <w:pPr>
              <w:pStyle w:val="ListParagraph"/>
              <w:numPr>
                <w:ilvl w:val="0"/>
                <w:numId w:val="30"/>
              </w:numPr>
            </w:pPr>
            <w:r>
              <w:t>Ongoing use of the community leaders group.</w:t>
            </w:r>
          </w:p>
          <w:p w:rsidR="0061226B" w:rsidRDefault="0061226B" w:rsidP="00483F63">
            <w:pPr>
              <w:pStyle w:val="ListParagraph"/>
              <w:numPr>
                <w:ilvl w:val="0"/>
                <w:numId w:val="30"/>
              </w:numPr>
            </w:pPr>
            <w:r>
              <w:t>Elected members, particularly the Rangitāiki Community Board, support emerging community leaders.</w:t>
            </w:r>
          </w:p>
        </w:tc>
        <w:tc>
          <w:tcPr>
            <w:tcW w:w="502" w:type="pct"/>
            <w:shd w:val="clear" w:color="auto" w:fill="ECF3FA"/>
          </w:tcPr>
          <w:p w:rsidR="0088422F" w:rsidRDefault="0088422F" w:rsidP="00483F63">
            <w:pPr>
              <w:pStyle w:val="ListParagraph"/>
              <w:numPr>
                <w:ilvl w:val="0"/>
                <w:numId w:val="26"/>
              </w:numPr>
            </w:pPr>
            <w:r>
              <w:t>Community</w:t>
            </w:r>
          </w:p>
          <w:p w:rsidR="0088422F" w:rsidRDefault="0088422F" w:rsidP="00483F63">
            <w:pPr>
              <w:pStyle w:val="ListParagraph"/>
              <w:numPr>
                <w:ilvl w:val="0"/>
                <w:numId w:val="26"/>
              </w:numPr>
            </w:pPr>
            <w:r>
              <w:t>WRO</w:t>
            </w:r>
          </w:p>
        </w:tc>
        <w:tc>
          <w:tcPr>
            <w:tcW w:w="515" w:type="pct"/>
            <w:shd w:val="clear" w:color="auto" w:fill="ECF3FA"/>
          </w:tcPr>
          <w:p w:rsidR="0088422F" w:rsidRDefault="0088422F" w:rsidP="00483F63">
            <w:pPr>
              <w:pStyle w:val="ListParagraph"/>
              <w:numPr>
                <w:ilvl w:val="0"/>
                <w:numId w:val="36"/>
              </w:numPr>
              <w:ind w:left="345" w:hanging="283"/>
            </w:pPr>
            <w:r>
              <w:t>June 2017</w:t>
            </w:r>
          </w:p>
          <w:p w:rsidR="0088422F" w:rsidRDefault="0088422F" w:rsidP="00483F63">
            <w:pPr>
              <w:pStyle w:val="ListParagraph"/>
              <w:numPr>
                <w:ilvl w:val="0"/>
                <w:numId w:val="36"/>
              </w:numPr>
              <w:ind w:left="345" w:hanging="283"/>
            </w:pPr>
            <w:r>
              <w:t>Ongoing.</w:t>
            </w:r>
          </w:p>
        </w:tc>
      </w:tr>
      <w:tr w:rsidR="003E25EC" w:rsidTr="00D13A67">
        <w:trPr>
          <w:jc w:val="center"/>
        </w:trPr>
        <w:tc>
          <w:tcPr>
            <w:tcW w:w="568" w:type="pct"/>
            <w:vMerge w:val="restart"/>
            <w:shd w:val="clear" w:color="auto" w:fill="E5B8B7" w:themeFill="accent2" w:themeFillTint="66"/>
          </w:tcPr>
          <w:p w:rsidR="003E25EC" w:rsidRPr="00DC07FB" w:rsidRDefault="003E25EC" w:rsidP="00033809">
            <w:pPr>
              <w:contextualSpacing/>
              <w:jc w:val="center"/>
              <w:rPr>
                <w:b/>
                <w:sz w:val="28"/>
                <w:szCs w:val="28"/>
              </w:rPr>
            </w:pPr>
            <w:r w:rsidRPr="00DC07FB">
              <w:rPr>
                <w:b/>
                <w:sz w:val="28"/>
                <w:szCs w:val="28"/>
              </w:rPr>
              <w:t>Risks</w:t>
            </w:r>
          </w:p>
          <w:p w:rsidR="003E25EC" w:rsidRDefault="003E25EC" w:rsidP="00033809">
            <w:pPr>
              <w:contextualSpacing/>
              <w:jc w:val="center"/>
              <w:rPr>
                <w:sz w:val="24"/>
                <w:szCs w:val="24"/>
              </w:rPr>
            </w:pPr>
            <w:r w:rsidRPr="00DC07FB">
              <w:rPr>
                <w:sz w:val="24"/>
                <w:szCs w:val="24"/>
              </w:rPr>
              <w:t>The key things that could prevent us achieving this goal</w:t>
            </w:r>
          </w:p>
          <w:p w:rsidR="003E25EC" w:rsidRPr="005B0C91" w:rsidRDefault="003E25EC" w:rsidP="00033809">
            <w:pPr>
              <w:jc w:val="center"/>
              <w:rPr>
                <w:sz w:val="24"/>
                <w:szCs w:val="24"/>
              </w:rPr>
            </w:pPr>
          </w:p>
        </w:tc>
        <w:tc>
          <w:tcPr>
            <w:tcW w:w="1968" w:type="pct"/>
            <w:gridSpan w:val="3"/>
            <w:shd w:val="clear" w:color="auto" w:fill="E5B8B7" w:themeFill="accent2" w:themeFillTint="66"/>
            <w:vAlign w:val="center"/>
          </w:tcPr>
          <w:p w:rsidR="003E25EC" w:rsidRPr="00F56822" w:rsidRDefault="003E25EC" w:rsidP="00033809">
            <w:pPr>
              <w:contextualSpacing/>
              <w:rPr>
                <w:b/>
                <w:sz w:val="24"/>
                <w:szCs w:val="24"/>
              </w:rPr>
            </w:pPr>
            <w:r w:rsidRPr="00F56822">
              <w:rPr>
                <w:b/>
                <w:sz w:val="24"/>
                <w:szCs w:val="24"/>
              </w:rPr>
              <w:t>Risk</w:t>
            </w:r>
          </w:p>
        </w:tc>
        <w:tc>
          <w:tcPr>
            <w:tcW w:w="2464" w:type="pct"/>
            <w:gridSpan w:val="3"/>
            <w:shd w:val="clear" w:color="auto" w:fill="E5B8B7" w:themeFill="accent2" w:themeFillTint="66"/>
            <w:vAlign w:val="center"/>
          </w:tcPr>
          <w:p w:rsidR="003E25EC" w:rsidRPr="00F56822" w:rsidRDefault="003E25EC" w:rsidP="00033809">
            <w:pPr>
              <w:contextualSpacing/>
              <w:rPr>
                <w:sz w:val="24"/>
                <w:szCs w:val="24"/>
              </w:rPr>
            </w:pPr>
            <w:r w:rsidRPr="00F56822">
              <w:rPr>
                <w:b/>
                <w:sz w:val="24"/>
                <w:szCs w:val="24"/>
              </w:rPr>
              <w:t>Mitigation</w:t>
            </w:r>
          </w:p>
        </w:tc>
      </w:tr>
      <w:tr w:rsidR="003E25EC" w:rsidTr="00D13A67">
        <w:trPr>
          <w:jc w:val="center"/>
        </w:trPr>
        <w:tc>
          <w:tcPr>
            <w:tcW w:w="568" w:type="pct"/>
            <w:vMerge/>
            <w:shd w:val="clear" w:color="auto" w:fill="E5DFEC" w:themeFill="accent4" w:themeFillTint="33"/>
          </w:tcPr>
          <w:p w:rsidR="003E25EC" w:rsidRDefault="003E25EC" w:rsidP="00033809">
            <w:pPr>
              <w:contextualSpacing/>
            </w:pPr>
          </w:p>
        </w:tc>
        <w:tc>
          <w:tcPr>
            <w:tcW w:w="1968" w:type="pct"/>
            <w:gridSpan w:val="3"/>
            <w:shd w:val="clear" w:color="auto" w:fill="FBEFF2"/>
          </w:tcPr>
          <w:p w:rsidR="003E25EC" w:rsidRDefault="003E25EC" w:rsidP="00B14389">
            <w:pPr>
              <w:pStyle w:val="ListParagraph"/>
              <w:numPr>
                <w:ilvl w:val="0"/>
                <w:numId w:val="16"/>
              </w:numPr>
              <w:ind w:left="171" w:hanging="219"/>
            </w:pPr>
            <w:r>
              <w:t>Negative public reaction to recovery actions.</w:t>
            </w:r>
          </w:p>
        </w:tc>
        <w:tc>
          <w:tcPr>
            <w:tcW w:w="2464" w:type="pct"/>
            <w:gridSpan w:val="3"/>
            <w:shd w:val="clear" w:color="auto" w:fill="FBEFF2"/>
          </w:tcPr>
          <w:p w:rsidR="003E25EC" w:rsidRDefault="003E25EC" w:rsidP="00033809">
            <w:pPr>
              <w:contextualSpacing/>
            </w:pPr>
            <w:r>
              <w:t>Effective and timely public communications and work closely with community leaders.</w:t>
            </w:r>
          </w:p>
        </w:tc>
      </w:tr>
      <w:tr w:rsidR="003E25EC" w:rsidTr="00D13A67">
        <w:trPr>
          <w:jc w:val="center"/>
        </w:trPr>
        <w:tc>
          <w:tcPr>
            <w:tcW w:w="568" w:type="pct"/>
            <w:vMerge/>
            <w:shd w:val="clear" w:color="auto" w:fill="E5DFEC" w:themeFill="accent4" w:themeFillTint="33"/>
          </w:tcPr>
          <w:p w:rsidR="003E25EC" w:rsidRDefault="003E25EC" w:rsidP="00033809">
            <w:pPr>
              <w:contextualSpacing/>
            </w:pPr>
          </w:p>
        </w:tc>
        <w:tc>
          <w:tcPr>
            <w:tcW w:w="1968" w:type="pct"/>
            <w:gridSpan w:val="3"/>
            <w:shd w:val="clear" w:color="auto" w:fill="FBEFF2"/>
          </w:tcPr>
          <w:p w:rsidR="003E25EC" w:rsidRDefault="003E25EC" w:rsidP="00B14389">
            <w:pPr>
              <w:pStyle w:val="ListParagraph"/>
              <w:numPr>
                <w:ilvl w:val="0"/>
                <w:numId w:val="16"/>
              </w:numPr>
              <w:ind w:left="171" w:hanging="219"/>
            </w:pPr>
            <w:r>
              <w:t>Loss of confidence in Council and other agencies.</w:t>
            </w:r>
          </w:p>
        </w:tc>
        <w:tc>
          <w:tcPr>
            <w:tcW w:w="2464" w:type="pct"/>
            <w:gridSpan w:val="3"/>
            <w:shd w:val="clear" w:color="auto" w:fill="FBEFF2"/>
          </w:tcPr>
          <w:p w:rsidR="003E25EC" w:rsidRDefault="003E25EC" w:rsidP="00033809">
            <w:pPr>
              <w:contextualSpacing/>
            </w:pPr>
            <w:r>
              <w:t>Effective and timely communications.</w:t>
            </w:r>
          </w:p>
          <w:p w:rsidR="003E25EC" w:rsidRDefault="003E25EC" w:rsidP="00033809">
            <w:pPr>
              <w:contextualSpacing/>
            </w:pPr>
            <w:r>
              <w:t>Transparent and inclusive decision making processes are in place.</w:t>
            </w:r>
          </w:p>
        </w:tc>
      </w:tr>
      <w:tr w:rsidR="003E25EC" w:rsidTr="00D13A67">
        <w:trPr>
          <w:jc w:val="center"/>
        </w:trPr>
        <w:tc>
          <w:tcPr>
            <w:tcW w:w="568" w:type="pct"/>
            <w:vMerge/>
            <w:shd w:val="clear" w:color="auto" w:fill="E5DFEC" w:themeFill="accent4" w:themeFillTint="33"/>
          </w:tcPr>
          <w:p w:rsidR="003E25EC" w:rsidRDefault="003E25EC" w:rsidP="00033809">
            <w:pPr>
              <w:contextualSpacing/>
            </w:pPr>
          </w:p>
        </w:tc>
        <w:tc>
          <w:tcPr>
            <w:tcW w:w="1968" w:type="pct"/>
            <w:gridSpan w:val="3"/>
            <w:shd w:val="clear" w:color="auto" w:fill="FBEFF2"/>
          </w:tcPr>
          <w:p w:rsidR="003E25EC" w:rsidRDefault="003E25EC" w:rsidP="00B14389">
            <w:pPr>
              <w:pStyle w:val="ListParagraph"/>
              <w:numPr>
                <w:ilvl w:val="0"/>
                <w:numId w:val="16"/>
              </w:numPr>
              <w:ind w:left="171" w:hanging="219"/>
            </w:pPr>
            <w:r>
              <w:t>Displaced and fatigued community is dis-engaged in recovery processes and actions.</w:t>
            </w:r>
          </w:p>
        </w:tc>
        <w:tc>
          <w:tcPr>
            <w:tcW w:w="2464" w:type="pct"/>
            <w:gridSpan w:val="3"/>
            <w:shd w:val="clear" w:color="auto" w:fill="FBEFF2"/>
          </w:tcPr>
          <w:p w:rsidR="003E25EC" w:rsidRDefault="003E25EC" w:rsidP="00033809">
            <w:pPr>
              <w:contextualSpacing/>
            </w:pPr>
            <w:r>
              <w:t>Community engagement is led by community leaders.</w:t>
            </w:r>
          </w:p>
          <w:p w:rsidR="003E25EC" w:rsidRDefault="003E25EC" w:rsidP="00033809">
            <w:pPr>
              <w:contextualSpacing/>
            </w:pPr>
            <w:r>
              <w:t>Community plan is developed ‘for and by’ the community.</w:t>
            </w:r>
          </w:p>
        </w:tc>
      </w:tr>
      <w:tr w:rsidR="00FB0579" w:rsidTr="00D13A67">
        <w:trPr>
          <w:jc w:val="center"/>
        </w:trPr>
        <w:tc>
          <w:tcPr>
            <w:tcW w:w="568" w:type="pct"/>
            <w:vMerge/>
            <w:shd w:val="clear" w:color="auto" w:fill="E5DFEC" w:themeFill="accent4" w:themeFillTint="33"/>
          </w:tcPr>
          <w:p w:rsidR="00FB0579" w:rsidRDefault="00FB0579" w:rsidP="00033809">
            <w:pPr>
              <w:contextualSpacing/>
            </w:pPr>
          </w:p>
        </w:tc>
        <w:tc>
          <w:tcPr>
            <w:tcW w:w="1968" w:type="pct"/>
            <w:gridSpan w:val="3"/>
            <w:shd w:val="clear" w:color="auto" w:fill="FBEFF2"/>
          </w:tcPr>
          <w:p w:rsidR="00FB0579" w:rsidRDefault="00FB0579" w:rsidP="00B14389">
            <w:pPr>
              <w:pStyle w:val="ListParagraph"/>
              <w:numPr>
                <w:ilvl w:val="0"/>
                <w:numId w:val="16"/>
              </w:numPr>
              <w:ind w:left="171" w:hanging="219"/>
            </w:pPr>
            <w:r>
              <w:t>Lack of involvement / support from key community stakeholders</w:t>
            </w:r>
            <w:r w:rsidR="001757FD">
              <w:t>, including Iwi</w:t>
            </w:r>
          </w:p>
        </w:tc>
        <w:tc>
          <w:tcPr>
            <w:tcW w:w="2464" w:type="pct"/>
            <w:gridSpan w:val="3"/>
            <w:shd w:val="clear" w:color="auto" w:fill="FBEFF2"/>
          </w:tcPr>
          <w:p w:rsidR="00FB0579" w:rsidRDefault="00FB0579" w:rsidP="00033809">
            <w:pPr>
              <w:contextualSpacing/>
            </w:pPr>
            <w:r>
              <w:t>Maintain close relationships with community groups and community leaders.</w:t>
            </w:r>
          </w:p>
        </w:tc>
      </w:tr>
      <w:tr w:rsidR="00FB0579" w:rsidTr="00D13A67">
        <w:trPr>
          <w:jc w:val="center"/>
        </w:trPr>
        <w:tc>
          <w:tcPr>
            <w:tcW w:w="568" w:type="pct"/>
            <w:vMerge/>
            <w:shd w:val="clear" w:color="auto" w:fill="E5DFEC" w:themeFill="accent4" w:themeFillTint="33"/>
          </w:tcPr>
          <w:p w:rsidR="00FB0579" w:rsidRDefault="00FB0579" w:rsidP="00033809">
            <w:pPr>
              <w:contextualSpacing/>
            </w:pPr>
          </w:p>
        </w:tc>
        <w:tc>
          <w:tcPr>
            <w:tcW w:w="1968" w:type="pct"/>
            <w:gridSpan w:val="3"/>
            <w:shd w:val="clear" w:color="auto" w:fill="FBEFF2"/>
          </w:tcPr>
          <w:p w:rsidR="00FB0579" w:rsidRDefault="00FB0579" w:rsidP="00B14389">
            <w:pPr>
              <w:pStyle w:val="ListParagraph"/>
              <w:numPr>
                <w:ilvl w:val="0"/>
                <w:numId w:val="16"/>
              </w:numPr>
              <w:ind w:left="171" w:hanging="219"/>
            </w:pPr>
            <w:r>
              <w:t>Lack of central government support (resources and financial).</w:t>
            </w:r>
          </w:p>
        </w:tc>
        <w:tc>
          <w:tcPr>
            <w:tcW w:w="2464" w:type="pct"/>
            <w:gridSpan w:val="3"/>
            <w:shd w:val="clear" w:color="auto" w:fill="FBEFF2"/>
          </w:tcPr>
          <w:p w:rsidR="00FB0579" w:rsidRDefault="00FB0579" w:rsidP="00033809">
            <w:pPr>
              <w:contextualSpacing/>
            </w:pPr>
            <w:r>
              <w:t>Maintain good working relationships with the NRO and other central government agencies.</w:t>
            </w:r>
          </w:p>
        </w:tc>
      </w:tr>
      <w:tr w:rsidR="00FB0579" w:rsidTr="00D13A67">
        <w:trPr>
          <w:jc w:val="center"/>
        </w:trPr>
        <w:tc>
          <w:tcPr>
            <w:tcW w:w="568" w:type="pct"/>
            <w:vMerge/>
            <w:shd w:val="clear" w:color="auto" w:fill="E5DFEC" w:themeFill="accent4" w:themeFillTint="33"/>
          </w:tcPr>
          <w:p w:rsidR="00FB0579" w:rsidRDefault="00FB0579" w:rsidP="00033809">
            <w:pPr>
              <w:contextualSpacing/>
            </w:pPr>
          </w:p>
        </w:tc>
        <w:tc>
          <w:tcPr>
            <w:tcW w:w="1968" w:type="pct"/>
            <w:gridSpan w:val="3"/>
            <w:shd w:val="clear" w:color="auto" w:fill="FBEFF2"/>
          </w:tcPr>
          <w:p w:rsidR="00FB0579" w:rsidRDefault="001757FD" w:rsidP="00B14389">
            <w:pPr>
              <w:pStyle w:val="ListParagraph"/>
              <w:numPr>
                <w:ilvl w:val="0"/>
                <w:numId w:val="16"/>
              </w:numPr>
              <w:ind w:left="171" w:hanging="219"/>
            </w:pPr>
            <w:r>
              <w:t>Lack of Iwi involvement / partnerships</w:t>
            </w:r>
          </w:p>
        </w:tc>
        <w:tc>
          <w:tcPr>
            <w:tcW w:w="2464" w:type="pct"/>
            <w:gridSpan w:val="3"/>
            <w:shd w:val="clear" w:color="auto" w:fill="FBEFF2"/>
          </w:tcPr>
          <w:p w:rsidR="00FB0579" w:rsidRDefault="009457EB" w:rsidP="00033809">
            <w:pPr>
              <w:contextualSpacing/>
            </w:pPr>
            <w:r>
              <w:t>Maintain awareness of relationships with Iwi across all environments of Recovery.</w:t>
            </w:r>
          </w:p>
        </w:tc>
      </w:tr>
      <w:tr w:rsidR="00D13A67" w:rsidTr="00720D73">
        <w:tblPrEx>
          <w:tblCellMar>
            <w:top w:w="57" w:type="dxa"/>
          </w:tblCellMar>
        </w:tblPrEx>
        <w:trPr>
          <w:jc w:val="center"/>
        </w:trPr>
        <w:tc>
          <w:tcPr>
            <w:tcW w:w="575" w:type="pct"/>
            <w:gridSpan w:val="2"/>
            <w:vMerge w:val="restart"/>
            <w:shd w:val="clear" w:color="auto" w:fill="FBD4B4" w:themeFill="accent6" w:themeFillTint="66"/>
          </w:tcPr>
          <w:p w:rsidR="00D13A67" w:rsidRPr="00DC07FB" w:rsidRDefault="00D13A67" w:rsidP="00033809">
            <w:pPr>
              <w:contextualSpacing/>
              <w:jc w:val="center"/>
              <w:rPr>
                <w:b/>
                <w:sz w:val="28"/>
                <w:szCs w:val="28"/>
              </w:rPr>
            </w:pPr>
            <w:r w:rsidRPr="00DC07FB">
              <w:rPr>
                <w:b/>
                <w:sz w:val="28"/>
                <w:szCs w:val="28"/>
              </w:rPr>
              <w:t>Opportunities</w:t>
            </w:r>
          </w:p>
          <w:p w:rsidR="00D13A67" w:rsidRPr="00DC07FB" w:rsidRDefault="00D13A67" w:rsidP="00033809">
            <w:pPr>
              <w:contextualSpacing/>
              <w:jc w:val="center"/>
              <w:rPr>
                <w:sz w:val="24"/>
                <w:szCs w:val="24"/>
              </w:rPr>
            </w:pPr>
            <w:r w:rsidRPr="00DC07FB">
              <w:rPr>
                <w:sz w:val="24"/>
                <w:szCs w:val="24"/>
              </w:rPr>
              <w:t>Things that could help us better achieve this goal</w:t>
            </w:r>
          </w:p>
        </w:tc>
        <w:tc>
          <w:tcPr>
            <w:tcW w:w="1961" w:type="pct"/>
            <w:gridSpan w:val="2"/>
            <w:shd w:val="clear" w:color="auto" w:fill="FBD4B4" w:themeFill="accent6" w:themeFillTint="66"/>
            <w:vAlign w:val="center"/>
          </w:tcPr>
          <w:p w:rsidR="00D13A67" w:rsidRPr="00F56822" w:rsidRDefault="00D13A67" w:rsidP="00033809">
            <w:pPr>
              <w:contextualSpacing/>
              <w:rPr>
                <w:b/>
                <w:sz w:val="24"/>
                <w:szCs w:val="24"/>
              </w:rPr>
            </w:pPr>
            <w:r w:rsidRPr="00F56822">
              <w:rPr>
                <w:b/>
                <w:sz w:val="24"/>
                <w:szCs w:val="24"/>
              </w:rPr>
              <w:t>Opportunity</w:t>
            </w:r>
          </w:p>
        </w:tc>
        <w:tc>
          <w:tcPr>
            <w:tcW w:w="2464" w:type="pct"/>
            <w:gridSpan w:val="3"/>
            <w:shd w:val="clear" w:color="auto" w:fill="FBD4B4" w:themeFill="accent6" w:themeFillTint="66"/>
            <w:vAlign w:val="center"/>
          </w:tcPr>
          <w:p w:rsidR="00D13A67" w:rsidRPr="00F56822" w:rsidRDefault="00D13A67" w:rsidP="00033809">
            <w:pPr>
              <w:contextualSpacing/>
              <w:rPr>
                <w:sz w:val="24"/>
                <w:szCs w:val="24"/>
              </w:rPr>
            </w:pPr>
            <w:r w:rsidRPr="00F56822">
              <w:rPr>
                <w:b/>
                <w:sz w:val="24"/>
                <w:szCs w:val="24"/>
              </w:rPr>
              <w:t>Owner</w:t>
            </w:r>
          </w:p>
        </w:tc>
      </w:tr>
      <w:tr w:rsidR="00D13A67" w:rsidTr="00720D73">
        <w:tblPrEx>
          <w:tblCellMar>
            <w:top w:w="57" w:type="dxa"/>
          </w:tblCellMar>
        </w:tblPrEx>
        <w:trPr>
          <w:trHeight w:val="398"/>
          <w:jc w:val="center"/>
        </w:trPr>
        <w:tc>
          <w:tcPr>
            <w:tcW w:w="575" w:type="pct"/>
            <w:gridSpan w:val="2"/>
            <w:vMerge/>
            <w:shd w:val="clear" w:color="auto" w:fill="DBE5F1" w:themeFill="accent1" w:themeFillTint="33"/>
          </w:tcPr>
          <w:p w:rsidR="00D13A67" w:rsidRDefault="00D13A67" w:rsidP="00033809">
            <w:pPr>
              <w:contextualSpacing/>
            </w:pPr>
          </w:p>
        </w:tc>
        <w:tc>
          <w:tcPr>
            <w:tcW w:w="1961" w:type="pct"/>
            <w:gridSpan w:val="2"/>
            <w:shd w:val="clear" w:color="auto" w:fill="FCF1E8"/>
          </w:tcPr>
          <w:p w:rsidR="00D13A67" w:rsidRDefault="00D13A67" w:rsidP="00B14389">
            <w:pPr>
              <w:pStyle w:val="ListParagraph"/>
              <w:numPr>
                <w:ilvl w:val="0"/>
                <w:numId w:val="17"/>
              </w:numPr>
              <w:ind w:left="171" w:hanging="219"/>
            </w:pPr>
            <w:r>
              <w:t>Well connected community groups, support networks and neighbourhoods are formed.</w:t>
            </w:r>
          </w:p>
        </w:tc>
        <w:tc>
          <w:tcPr>
            <w:tcW w:w="2464" w:type="pct"/>
            <w:gridSpan w:val="3"/>
            <w:shd w:val="clear" w:color="auto" w:fill="FCF1E8"/>
          </w:tcPr>
          <w:p w:rsidR="00D13A67" w:rsidRDefault="00D13A67" w:rsidP="00033809">
            <w:pPr>
              <w:contextualSpacing/>
            </w:pPr>
            <w:r>
              <w:t>Community</w:t>
            </w:r>
          </w:p>
        </w:tc>
      </w:tr>
      <w:tr w:rsidR="00D13A67" w:rsidTr="00720D73">
        <w:tblPrEx>
          <w:tblCellMar>
            <w:top w:w="57" w:type="dxa"/>
          </w:tblCellMar>
        </w:tblPrEx>
        <w:trPr>
          <w:trHeight w:val="397"/>
          <w:jc w:val="center"/>
        </w:trPr>
        <w:tc>
          <w:tcPr>
            <w:tcW w:w="575" w:type="pct"/>
            <w:gridSpan w:val="2"/>
            <w:vMerge/>
            <w:shd w:val="clear" w:color="auto" w:fill="DBE5F1" w:themeFill="accent1" w:themeFillTint="33"/>
          </w:tcPr>
          <w:p w:rsidR="00D13A67" w:rsidRDefault="00D13A67" w:rsidP="00033809">
            <w:pPr>
              <w:contextualSpacing/>
            </w:pPr>
          </w:p>
        </w:tc>
        <w:tc>
          <w:tcPr>
            <w:tcW w:w="1961" w:type="pct"/>
            <w:gridSpan w:val="2"/>
            <w:shd w:val="clear" w:color="auto" w:fill="FCF1E8"/>
          </w:tcPr>
          <w:p w:rsidR="00D13A67" w:rsidRDefault="00D13A67" w:rsidP="00B14389">
            <w:pPr>
              <w:pStyle w:val="ListParagraph"/>
              <w:numPr>
                <w:ilvl w:val="0"/>
                <w:numId w:val="17"/>
              </w:numPr>
              <w:ind w:left="171" w:hanging="219"/>
            </w:pPr>
            <w:r>
              <w:t>Through the community plan process, the community has the opportunity to design and restore parks, public spaces and roadside berms.</w:t>
            </w:r>
          </w:p>
        </w:tc>
        <w:tc>
          <w:tcPr>
            <w:tcW w:w="2464" w:type="pct"/>
            <w:gridSpan w:val="3"/>
            <w:shd w:val="clear" w:color="auto" w:fill="FCF1E8"/>
          </w:tcPr>
          <w:p w:rsidR="00D13A67" w:rsidRDefault="00D13A67" w:rsidP="00033809">
            <w:pPr>
              <w:contextualSpacing/>
            </w:pPr>
            <w:r>
              <w:t>Community</w:t>
            </w:r>
          </w:p>
        </w:tc>
      </w:tr>
      <w:tr w:rsidR="00D13A67" w:rsidTr="00720D73">
        <w:tblPrEx>
          <w:tblCellMar>
            <w:top w:w="57" w:type="dxa"/>
          </w:tblCellMar>
        </w:tblPrEx>
        <w:trPr>
          <w:trHeight w:val="397"/>
          <w:jc w:val="center"/>
        </w:trPr>
        <w:tc>
          <w:tcPr>
            <w:tcW w:w="575" w:type="pct"/>
            <w:gridSpan w:val="2"/>
            <w:vMerge/>
            <w:shd w:val="clear" w:color="auto" w:fill="DBE5F1" w:themeFill="accent1" w:themeFillTint="33"/>
          </w:tcPr>
          <w:p w:rsidR="00D13A67" w:rsidRDefault="00D13A67" w:rsidP="00033809">
            <w:pPr>
              <w:contextualSpacing/>
            </w:pPr>
          </w:p>
        </w:tc>
        <w:tc>
          <w:tcPr>
            <w:tcW w:w="1961" w:type="pct"/>
            <w:gridSpan w:val="2"/>
            <w:shd w:val="clear" w:color="auto" w:fill="FCF1E8"/>
          </w:tcPr>
          <w:p w:rsidR="00D13A67" w:rsidRDefault="00D13A67" w:rsidP="00B14389">
            <w:pPr>
              <w:pStyle w:val="ListParagraph"/>
              <w:numPr>
                <w:ilvl w:val="0"/>
                <w:numId w:val="17"/>
              </w:numPr>
              <w:ind w:left="171" w:hanging="219"/>
            </w:pPr>
            <w:r>
              <w:t>New community leaders and community groups are identified through the recovery process which are supported and developed.</w:t>
            </w:r>
          </w:p>
        </w:tc>
        <w:tc>
          <w:tcPr>
            <w:tcW w:w="2464" w:type="pct"/>
            <w:gridSpan w:val="3"/>
            <w:shd w:val="clear" w:color="auto" w:fill="FCF1E8"/>
          </w:tcPr>
          <w:p w:rsidR="009457EB" w:rsidRDefault="009457EB" w:rsidP="00033809">
            <w:pPr>
              <w:contextualSpacing/>
            </w:pPr>
            <w:r>
              <w:t>Community</w:t>
            </w:r>
          </w:p>
          <w:p w:rsidR="00D13A67" w:rsidRDefault="00D13A67" w:rsidP="00033809">
            <w:pPr>
              <w:contextualSpacing/>
            </w:pPr>
            <w:r>
              <w:t>WRO</w:t>
            </w:r>
          </w:p>
        </w:tc>
      </w:tr>
      <w:tr w:rsidR="00D13A67" w:rsidTr="00720D73">
        <w:tblPrEx>
          <w:tblCellMar>
            <w:top w:w="57" w:type="dxa"/>
          </w:tblCellMar>
        </w:tblPrEx>
        <w:trPr>
          <w:trHeight w:val="397"/>
          <w:jc w:val="center"/>
        </w:trPr>
        <w:tc>
          <w:tcPr>
            <w:tcW w:w="575" w:type="pct"/>
            <w:gridSpan w:val="2"/>
            <w:vMerge/>
            <w:shd w:val="clear" w:color="auto" w:fill="DBE5F1" w:themeFill="accent1" w:themeFillTint="33"/>
          </w:tcPr>
          <w:p w:rsidR="00D13A67" w:rsidRDefault="00D13A67" w:rsidP="00033809">
            <w:pPr>
              <w:contextualSpacing/>
            </w:pPr>
          </w:p>
        </w:tc>
        <w:tc>
          <w:tcPr>
            <w:tcW w:w="1961" w:type="pct"/>
            <w:gridSpan w:val="2"/>
            <w:shd w:val="clear" w:color="auto" w:fill="FCF1E8"/>
          </w:tcPr>
          <w:p w:rsidR="00D13A67" w:rsidRDefault="00D13A67" w:rsidP="00B14389">
            <w:pPr>
              <w:pStyle w:val="ListParagraph"/>
              <w:numPr>
                <w:ilvl w:val="0"/>
                <w:numId w:val="17"/>
              </w:numPr>
              <w:ind w:left="171" w:hanging="219"/>
            </w:pPr>
            <w:r>
              <w:t>Existing community groups are further developed.</w:t>
            </w:r>
          </w:p>
        </w:tc>
        <w:tc>
          <w:tcPr>
            <w:tcW w:w="2464" w:type="pct"/>
            <w:gridSpan w:val="3"/>
            <w:shd w:val="clear" w:color="auto" w:fill="FCF1E8"/>
          </w:tcPr>
          <w:p w:rsidR="00D13A67" w:rsidRDefault="00D13A67" w:rsidP="00033809">
            <w:pPr>
              <w:contextualSpacing/>
            </w:pPr>
            <w:r>
              <w:t>Community</w:t>
            </w:r>
          </w:p>
          <w:p w:rsidR="00D13A67" w:rsidRDefault="00D13A67" w:rsidP="00033809">
            <w:pPr>
              <w:contextualSpacing/>
            </w:pPr>
            <w:r>
              <w:t>WRO</w:t>
            </w:r>
          </w:p>
        </w:tc>
      </w:tr>
      <w:tr w:rsidR="00D13A67" w:rsidTr="00720D73">
        <w:tblPrEx>
          <w:tblCellMar>
            <w:top w:w="57" w:type="dxa"/>
          </w:tblCellMar>
        </w:tblPrEx>
        <w:trPr>
          <w:trHeight w:val="397"/>
          <w:jc w:val="center"/>
        </w:trPr>
        <w:tc>
          <w:tcPr>
            <w:tcW w:w="575" w:type="pct"/>
            <w:gridSpan w:val="2"/>
            <w:vMerge/>
            <w:shd w:val="clear" w:color="auto" w:fill="DBE5F1" w:themeFill="accent1" w:themeFillTint="33"/>
          </w:tcPr>
          <w:p w:rsidR="00D13A67" w:rsidRDefault="00D13A67" w:rsidP="00033809">
            <w:pPr>
              <w:contextualSpacing/>
            </w:pPr>
          </w:p>
        </w:tc>
        <w:tc>
          <w:tcPr>
            <w:tcW w:w="1961" w:type="pct"/>
            <w:gridSpan w:val="2"/>
            <w:shd w:val="clear" w:color="auto" w:fill="FCF1E8"/>
          </w:tcPr>
          <w:p w:rsidR="00D13A67" w:rsidRDefault="00D13A67" w:rsidP="00B14389">
            <w:pPr>
              <w:pStyle w:val="ListParagraph"/>
              <w:numPr>
                <w:ilvl w:val="0"/>
                <w:numId w:val="17"/>
              </w:numPr>
              <w:ind w:left="171" w:hanging="219"/>
            </w:pPr>
            <w:r>
              <w:t>Clear strategic vision for the community is formed that brings together stakeholders, government agencies, councils, NGOs, Iwi and others.</w:t>
            </w:r>
          </w:p>
        </w:tc>
        <w:tc>
          <w:tcPr>
            <w:tcW w:w="2464" w:type="pct"/>
            <w:gridSpan w:val="3"/>
            <w:shd w:val="clear" w:color="auto" w:fill="FCF1E8"/>
          </w:tcPr>
          <w:p w:rsidR="00D13A67" w:rsidRDefault="00D13A67" w:rsidP="00033809">
            <w:pPr>
              <w:contextualSpacing/>
            </w:pPr>
            <w:r>
              <w:t>Community (with WRO support)</w:t>
            </w:r>
          </w:p>
        </w:tc>
      </w:tr>
      <w:tr w:rsidR="00D13A67" w:rsidTr="00720D73">
        <w:tblPrEx>
          <w:tblCellMar>
            <w:top w:w="57" w:type="dxa"/>
          </w:tblCellMar>
        </w:tblPrEx>
        <w:trPr>
          <w:trHeight w:val="397"/>
          <w:jc w:val="center"/>
        </w:trPr>
        <w:tc>
          <w:tcPr>
            <w:tcW w:w="575" w:type="pct"/>
            <w:gridSpan w:val="2"/>
            <w:vMerge/>
            <w:shd w:val="clear" w:color="auto" w:fill="FBD4B4" w:themeFill="accent6" w:themeFillTint="66"/>
          </w:tcPr>
          <w:p w:rsidR="00D13A67" w:rsidRPr="009173BC" w:rsidRDefault="00D13A67" w:rsidP="009173BC">
            <w:pPr>
              <w:contextualSpacing/>
              <w:jc w:val="center"/>
              <w:rPr>
                <w:b/>
                <w:sz w:val="28"/>
                <w:szCs w:val="28"/>
              </w:rPr>
            </w:pPr>
          </w:p>
        </w:tc>
        <w:tc>
          <w:tcPr>
            <w:tcW w:w="1961" w:type="pct"/>
            <w:gridSpan w:val="2"/>
            <w:shd w:val="clear" w:color="auto" w:fill="FCF1E8"/>
          </w:tcPr>
          <w:p w:rsidR="00D13A67" w:rsidRDefault="00D13A67" w:rsidP="00B14389">
            <w:pPr>
              <w:pStyle w:val="ListParagraph"/>
              <w:numPr>
                <w:ilvl w:val="0"/>
                <w:numId w:val="17"/>
              </w:numPr>
              <w:ind w:left="171" w:hanging="219"/>
            </w:pPr>
            <w:r>
              <w:t>Prioritise Māori land utilisation projects as a result of the flood.</w:t>
            </w:r>
          </w:p>
        </w:tc>
        <w:tc>
          <w:tcPr>
            <w:tcW w:w="2464" w:type="pct"/>
            <w:gridSpan w:val="3"/>
            <w:shd w:val="clear" w:color="auto" w:fill="FCF1E8"/>
          </w:tcPr>
          <w:p w:rsidR="00D13A67" w:rsidRDefault="00D13A67" w:rsidP="00033809">
            <w:pPr>
              <w:contextualSpacing/>
            </w:pPr>
            <w:r>
              <w:t>RST, RAG, MPI, MBIE, WRO, BOPRC, Te Rūnanga o Ngāti Awa, Te Tumu Paeroa</w:t>
            </w:r>
          </w:p>
        </w:tc>
      </w:tr>
      <w:tr w:rsidR="00D13A67" w:rsidTr="00720D73">
        <w:tblPrEx>
          <w:tblCellMar>
            <w:top w:w="57" w:type="dxa"/>
          </w:tblCellMar>
        </w:tblPrEx>
        <w:trPr>
          <w:trHeight w:val="397"/>
          <w:jc w:val="center"/>
        </w:trPr>
        <w:tc>
          <w:tcPr>
            <w:tcW w:w="575" w:type="pct"/>
            <w:gridSpan w:val="2"/>
            <w:vMerge/>
            <w:shd w:val="clear" w:color="auto" w:fill="FBD4B4" w:themeFill="accent6" w:themeFillTint="66"/>
          </w:tcPr>
          <w:p w:rsidR="00D13A67" w:rsidRPr="009173BC" w:rsidRDefault="00D13A67" w:rsidP="009173BC">
            <w:pPr>
              <w:contextualSpacing/>
              <w:jc w:val="center"/>
              <w:rPr>
                <w:b/>
                <w:sz w:val="28"/>
                <w:szCs w:val="28"/>
              </w:rPr>
            </w:pPr>
          </w:p>
        </w:tc>
        <w:tc>
          <w:tcPr>
            <w:tcW w:w="1961" w:type="pct"/>
            <w:gridSpan w:val="2"/>
            <w:shd w:val="clear" w:color="auto" w:fill="FCF1E8"/>
          </w:tcPr>
          <w:p w:rsidR="00D13A67" w:rsidRDefault="00D13A67" w:rsidP="00B14389">
            <w:pPr>
              <w:pStyle w:val="ListParagraph"/>
              <w:numPr>
                <w:ilvl w:val="0"/>
                <w:numId w:val="17"/>
              </w:numPr>
              <w:ind w:left="171" w:hanging="219"/>
            </w:pPr>
            <w:r>
              <w:t>Improved relationships with Iwi.</w:t>
            </w:r>
          </w:p>
        </w:tc>
        <w:tc>
          <w:tcPr>
            <w:tcW w:w="2464" w:type="pct"/>
            <w:gridSpan w:val="3"/>
            <w:shd w:val="clear" w:color="auto" w:fill="FCF1E8"/>
          </w:tcPr>
          <w:p w:rsidR="00D13A67" w:rsidRDefault="00D13A67" w:rsidP="00033809">
            <w:pPr>
              <w:contextualSpacing/>
            </w:pPr>
            <w:r>
              <w:t>WRO</w:t>
            </w:r>
          </w:p>
          <w:p w:rsidR="00D13A67" w:rsidRDefault="00D13A67" w:rsidP="00033809">
            <w:pPr>
              <w:contextualSpacing/>
            </w:pPr>
            <w:r>
              <w:t>Iwi</w:t>
            </w:r>
          </w:p>
        </w:tc>
      </w:tr>
      <w:tr w:rsidR="00D13A67" w:rsidTr="00720D73">
        <w:tblPrEx>
          <w:tblCellMar>
            <w:top w:w="57" w:type="dxa"/>
          </w:tblCellMar>
        </w:tblPrEx>
        <w:trPr>
          <w:trHeight w:val="397"/>
          <w:jc w:val="center"/>
        </w:trPr>
        <w:tc>
          <w:tcPr>
            <w:tcW w:w="575" w:type="pct"/>
            <w:gridSpan w:val="2"/>
            <w:vMerge/>
            <w:shd w:val="clear" w:color="auto" w:fill="FBD4B4" w:themeFill="accent6" w:themeFillTint="66"/>
          </w:tcPr>
          <w:p w:rsidR="00D13A67" w:rsidRPr="009173BC" w:rsidRDefault="00D13A67" w:rsidP="009173BC">
            <w:pPr>
              <w:contextualSpacing/>
              <w:jc w:val="center"/>
              <w:rPr>
                <w:b/>
                <w:sz w:val="28"/>
                <w:szCs w:val="28"/>
              </w:rPr>
            </w:pPr>
          </w:p>
        </w:tc>
        <w:tc>
          <w:tcPr>
            <w:tcW w:w="1961" w:type="pct"/>
            <w:gridSpan w:val="2"/>
            <w:shd w:val="clear" w:color="auto" w:fill="FCF1E8"/>
          </w:tcPr>
          <w:p w:rsidR="00D13A67" w:rsidRDefault="00D13A67" w:rsidP="00B14389">
            <w:pPr>
              <w:pStyle w:val="ListParagraph"/>
              <w:numPr>
                <w:ilvl w:val="0"/>
                <w:numId w:val="17"/>
              </w:numPr>
              <w:ind w:left="171" w:hanging="219"/>
            </w:pPr>
            <w:r>
              <w:t>Potential for long term Papakāinga housing at Kōkōhinau Marae, following the development of temporary housing</w:t>
            </w:r>
          </w:p>
        </w:tc>
        <w:tc>
          <w:tcPr>
            <w:tcW w:w="2464" w:type="pct"/>
            <w:gridSpan w:val="3"/>
            <w:shd w:val="clear" w:color="auto" w:fill="FCF1E8"/>
          </w:tcPr>
          <w:p w:rsidR="00D13A67" w:rsidRDefault="00D13A67" w:rsidP="00033809">
            <w:pPr>
              <w:contextualSpacing/>
            </w:pPr>
            <w:r>
              <w:t>TPK</w:t>
            </w:r>
            <w:r w:rsidR="009457EB">
              <w:t xml:space="preserve"> / MBIE</w:t>
            </w:r>
          </w:p>
          <w:p w:rsidR="00D13A67" w:rsidRDefault="00D13A67" w:rsidP="00033809">
            <w:pPr>
              <w:contextualSpacing/>
            </w:pPr>
            <w:r>
              <w:t>Kōkōhinau Marae</w:t>
            </w:r>
          </w:p>
        </w:tc>
      </w:tr>
      <w:tr w:rsidR="00D13A67" w:rsidTr="00720D73">
        <w:tblPrEx>
          <w:tblCellMar>
            <w:top w:w="57" w:type="dxa"/>
          </w:tblCellMar>
        </w:tblPrEx>
        <w:trPr>
          <w:trHeight w:val="397"/>
          <w:jc w:val="center"/>
        </w:trPr>
        <w:tc>
          <w:tcPr>
            <w:tcW w:w="575" w:type="pct"/>
            <w:gridSpan w:val="2"/>
            <w:vMerge/>
            <w:shd w:val="clear" w:color="auto" w:fill="FBD4B4" w:themeFill="accent6" w:themeFillTint="66"/>
          </w:tcPr>
          <w:p w:rsidR="00D13A67" w:rsidRPr="009173BC" w:rsidRDefault="00D13A67" w:rsidP="009173BC">
            <w:pPr>
              <w:contextualSpacing/>
              <w:jc w:val="center"/>
              <w:rPr>
                <w:b/>
                <w:sz w:val="28"/>
                <w:szCs w:val="28"/>
              </w:rPr>
            </w:pPr>
          </w:p>
        </w:tc>
        <w:tc>
          <w:tcPr>
            <w:tcW w:w="1961" w:type="pct"/>
            <w:gridSpan w:val="2"/>
            <w:shd w:val="clear" w:color="auto" w:fill="FCF1E8"/>
          </w:tcPr>
          <w:p w:rsidR="00D13A67" w:rsidRDefault="00D13A67" w:rsidP="00B14389">
            <w:pPr>
              <w:pStyle w:val="ListParagraph"/>
              <w:numPr>
                <w:ilvl w:val="0"/>
                <w:numId w:val="17"/>
              </w:numPr>
              <w:ind w:left="171" w:hanging="219"/>
            </w:pPr>
            <w:r>
              <w:t>Recognising the extent of damage to the road between Murupara and Waikaremoana (old SH38), prioritise the investigations underway to improve the road and how the road (in Te Urewera) can contribute to Tūhoe’s development aspirations.</w:t>
            </w:r>
          </w:p>
        </w:tc>
        <w:tc>
          <w:tcPr>
            <w:tcW w:w="2464" w:type="pct"/>
            <w:gridSpan w:val="3"/>
            <w:shd w:val="clear" w:color="auto" w:fill="FCF1E8"/>
          </w:tcPr>
          <w:p w:rsidR="00D13A67" w:rsidRDefault="00D13A67" w:rsidP="00033809">
            <w:pPr>
              <w:contextualSpacing/>
            </w:pPr>
            <w:r>
              <w:t>Joint project between Te Uru Taumatua, WDC, NZTA and Wairoa District Council.</w:t>
            </w:r>
          </w:p>
        </w:tc>
      </w:tr>
    </w:tbl>
    <w:p w:rsidR="00720D73" w:rsidRDefault="00720D73" w:rsidP="00720D73">
      <w:pPr>
        <w:rPr>
          <w:b/>
          <w:sz w:val="36"/>
          <w:szCs w:val="36"/>
        </w:rPr>
        <w:sectPr w:rsidR="00720D73" w:rsidSect="00FB0579">
          <w:headerReference w:type="default" r:id="rId27"/>
          <w:footerReference w:type="default" r:id="rId28"/>
          <w:pgSz w:w="23814" w:h="16839" w:orient="landscape" w:code="8"/>
          <w:pgMar w:top="426" w:right="1440" w:bottom="1440" w:left="851" w:header="708" w:footer="708" w:gutter="0"/>
          <w:cols w:space="708"/>
          <w:docGrid w:linePitch="360"/>
        </w:sectPr>
      </w:pPr>
    </w:p>
    <w:p w:rsidR="00E30C31" w:rsidRPr="00483F63" w:rsidRDefault="00E30C31" w:rsidP="00E30C31">
      <w:pPr>
        <w:pStyle w:val="Heading1"/>
        <w:rPr>
          <w:color w:val="1F497D" w:themeColor="text2"/>
        </w:rPr>
      </w:pPr>
      <w:r w:rsidRPr="00483F63">
        <w:rPr>
          <w:color w:val="1F497D" w:themeColor="text2"/>
        </w:rPr>
        <w:lastRenderedPageBreak/>
        <w:t>Stakeholders</w:t>
      </w:r>
    </w:p>
    <w:p w:rsidR="00E30C31" w:rsidRDefault="00E30C31" w:rsidP="00E30C31">
      <w:pPr>
        <w:rPr>
          <w:rFonts w:cstheme="minorHAnsi"/>
        </w:rPr>
      </w:pPr>
    </w:p>
    <w:p w:rsidR="00E30C31" w:rsidRDefault="00E30C31" w:rsidP="00E30C31">
      <w:pPr>
        <w:rPr>
          <w:rFonts w:cstheme="minorHAnsi"/>
        </w:rPr>
      </w:pPr>
      <w:r>
        <w:rPr>
          <w:rFonts w:cstheme="minorHAnsi"/>
        </w:rPr>
        <w:t>Communication, engagement and partnership for the recovery project falls into four broad groups:</w:t>
      </w:r>
    </w:p>
    <w:p w:rsidR="00E30C31" w:rsidRPr="001844D5" w:rsidRDefault="00E30C31" w:rsidP="00B14389">
      <w:pPr>
        <w:pStyle w:val="ListParagraph"/>
        <w:numPr>
          <w:ilvl w:val="0"/>
          <w:numId w:val="6"/>
        </w:numPr>
        <w:rPr>
          <w:rFonts w:cstheme="minorHAnsi"/>
        </w:rPr>
      </w:pPr>
      <w:r>
        <w:rPr>
          <w:rFonts w:cstheme="minorHAnsi"/>
        </w:rPr>
        <w:t>Affected people/community and residents of the Whakatāne District</w:t>
      </w:r>
    </w:p>
    <w:p w:rsidR="00E30C31" w:rsidRDefault="00E30C31" w:rsidP="00B14389">
      <w:pPr>
        <w:pStyle w:val="ListParagraph"/>
        <w:numPr>
          <w:ilvl w:val="0"/>
          <w:numId w:val="6"/>
        </w:numPr>
        <w:rPr>
          <w:rFonts w:cstheme="minorHAnsi"/>
        </w:rPr>
      </w:pPr>
      <w:r>
        <w:rPr>
          <w:rFonts w:cstheme="minorHAnsi"/>
        </w:rPr>
        <w:t>Local government</w:t>
      </w:r>
    </w:p>
    <w:p w:rsidR="00E30C31" w:rsidRDefault="00E30C31" w:rsidP="00B14389">
      <w:pPr>
        <w:pStyle w:val="ListParagraph"/>
        <w:numPr>
          <w:ilvl w:val="0"/>
          <w:numId w:val="6"/>
        </w:numPr>
        <w:rPr>
          <w:rFonts w:cstheme="minorHAnsi"/>
        </w:rPr>
      </w:pPr>
      <w:r>
        <w:rPr>
          <w:rFonts w:cstheme="minorHAnsi"/>
        </w:rPr>
        <w:t>Partners</w:t>
      </w:r>
    </w:p>
    <w:p w:rsidR="00E30C31" w:rsidRPr="00D8238B" w:rsidRDefault="00E30C31" w:rsidP="00B14389">
      <w:pPr>
        <w:pStyle w:val="ListParagraph"/>
        <w:numPr>
          <w:ilvl w:val="0"/>
          <w:numId w:val="6"/>
        </w:numPr>
        <w:spacing w:after="160" w:line="259" w:lineRule="auto"/>
        <w:rPr>
          <w:rFonts w:cstheme="minorHAnsi"/>
        </w:rPr>
      </w:pPr>
      <w:r>
        <w:rPr>
          <w:rFonts w:cstheme="minorHAnsi"/>
        </w:rPr>
        <w:t>Government and non-government organisations/agencies</w:t>
      </w:r>
      <w:r w:rsidR="004749D1">
        <w:rPr>
          <w:rFonts w:cstheme="minorHAnsi"/>
        </w:rPr>
        <w:t>.</w:t>
      </w:r>
    </w:p>
    <w:p w:rsidR="00E30C31" w:rsidRDefault="00E30C31" w:rsidP="00E30C31">
      <w:pPr>
        <w:rPr>
          <w:rFonts w:cstheme="minorHAnsi"/>
        </w:rPr>
      </w:pPr>
      <w:r>
        <w:rPr>
          <w:rFonts w:cstheme="minorHAnsi"/>
        </w:rPr>
        <w:t>Those involved in each stakeholder group are listed below.</w:t>
      </w:r>
    </w:p>
    <w:tbl>
      <w:tblPr>
        <w:tblStyle w:val="TableGrid"/>
        <w:tblW w:w="9572" w:type="dxa"/>
        <w:tblLook w:val="04A0" w:firstRow="1" w:lastRow="0" w:firstColumn="1" w:lastColumn="0" w:noHBand="0" w:noVBand="1"/>
      </w:tblPr>
      <w:tblGrid>
        <w:gridCol w:w="4786"/>
        <w:gridCol w:w="4786"/>
      </w:tblGrid>
      <w:tr w:rsidR="00E30C31" w:rsidRPr="006D1150" w:rsidTr="00D60C29">
        <w:trPr>
          <w:trHeight w:val="489"/>
        </w:trPr>
        <w:tc>
          <w:tcPr>
            <w:tcW w:w="4786" w:type="dxa"/>
            <w:shd w:val="clear" w:color="auto" w:fill="1F497D" w:themeFill="text2"/>
          </w:tcPr>
          <w:p w:rsidR="00E30C31" w:rsidRPr="006D1150" w:rsidRDefault="00E30C31" w:rsidP="004749D1">
            <w:pPr>
              <w:rPr>
                <w:rFonts w:cstheme="minorHAnsi"/>
                <w:b/>
                <w:color w:val="FFFFFF" w:themeColor="background1"/>
                <w:sz w:val="20"/>
                <w:szCs w:val="20"/>
              </w:rPr>
            </w:pPr>
            <w:r w:rsidRPr="006D1150">
              <w:rPr>
                <w:rFonts w:cstheme="minorHAnsi"/>
                <w:b/>
                <w:color w:val="FFFFFF" w:themeColor="background1"/>
                <w:sz w:val="20"/>
                <w:szCs w:val="20"/>
              </w:rPr>
              <w:t>Affected people/community and residents of the Whakatāne District</w:t>
            </w:r>
          </w:p>
        </w:tc>
        <w:tc>
          <w:tcPr>
            <w:tcW w:w="4786" w:type="dxa"/>
            <w:shd w:val="clear" w:color="auto" w:fill="1F497D" w:themeFill="text2"/>
          </w:tcPr>
          <w:p w:rsidR="00E30C31" w:rsidRPr="006D1150" w:rsidRDefault="00D13D33" w:rsidP="004749D1">
            <w:pPr>
              <w:rPr>
                <w:rFonts w:cstheme="minorHAnsi"/>
                <w:b/>
                <w:color w:val="FFFFFF" w:themeColor="background1"/>
                <w:sz w:val="20"/>
                <w:szCs w:val="20"/>
              </w:rPr>
            </w:pPr>
            <w:r>
              <w:rPr>
                <w:rFonts w:cstheme="minorHAnsi"/>
                <w:b/>
                <w:color w:val="FFFFFF" w:themeColor="background1"/>
                <w:sz w:val="20"/>
                <w:szCs w:val="20"/>
              </w:rPr>
              <w:t>Local government elected members and staff</w:t>
            </w:r>
          </w:p>
          <w:p w:rsidR="00E30C31" w:rsidRPr="006D1150" w:rsidRDefault="00E30C31" w:rsidP="004749D1">
            <w:pPr>
              <w:rPr>
                <w:rFonts w:cstheme="minorHAnsi"/>
                <w:b/>
                <w:color w:val="FFFFFF" w:themeColor="background1"/>
                <w:sz w:val="20"/>
                <w:szCs w:val="20"/>
              </w:rPr>
            </w:pPr>
          </w:p>
        </w:tc>
      </w:tr>
      <w:tr w:rsidR="00E30C31" w:rsidRPr="006D1150" w:rsidTr="00D60C29">
        <w:trPr>
          <w:trHeight w:val="3705"/>
        </w:trPr>
        <w:tc>
          <w:tcPr>
            <w:tcW w:w="4786" w:type="dxa"/>
            <w:tcBorders>
              <w:bottom w:val="single" w:sz="4" w:space="0" w:color="auto"/>
            </w:tcBorders>
          </w:tcPr>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Red stickered owners/occupiers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Yellow stickered owners/occupiers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White stickered owners/occupiers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Farmers/employees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Lifestylers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Business owners/operators/employees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Schools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Edgecumbe Community Focus Group </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Clubs and organisations </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Residents in the wider Whakatane District</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Local media (Whakatāne Beacon, Radio 1XX, Sun FM, Tumeke FM)</w:t>
            </w:r>
          </w:p>
        </w:tc>
        <w:tc>
          <w:tcPr>
            <w:tcW w:w="4786" w:type="dxa"/>
            <w:tcBorders>
              <w:bottom w:val="single" w:sz="4" w:space="0" w:color="auto"/>
            </w:tcBorders>
          </w:tcPr>
          <w:p w:rsidR="00E30C31" w:rsidRPr="006D1150" w:rsidRDefault="00E30C31" w:rsidP="004749D1">
            <w:pPr>
              <w:spacing w:after="160" w:line="259" w:lineRule="auto"/>
              <w:rPr>
                <w:rFonts w:cstheme="minorHAnsi"/>
                <w:color w:val="17365D" w:themeColor="text2" w:themeShade="BF"/>
                <w:sz w:val="20"/>
                <w:szCs w:val="20"/>
              </w:rPr>
            </w:pPr>
            <w:r w:rsidRPr="006D1150">
              <w:rPr>
                <w:rFonts w:cstheme="minorHAnsi"/>
                <w:color w:val="17365D" w:themeColor="text2" w:themeShade="BF"/>
                <w:sz w:val="20"/>
                <w:szCs w:val="20"/>
              </w:rPr>
              <w:t>Elected members: Whakatāne District Council, Rangitāiki Community Board, Tāneatua Community Board, Bay of Plenty Regional Council</w:t>
            </w:r>
          </w:p>
          <w:p w:rsidR="00E30C31" w:rsidRPr="006D1150" w:rsidRDefault="00E30C31" w:rsidP="004749D1">
            <w:pPr>
              <w:spacing w:after="160"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Recovery Team </w:t>
            </w:r>
          </w:p>
          <w:p w:rsidR="00E30C31" w:rsidRPr="006D1150" w:rsidRDefault="00E30C31" w:rsidP="004749D1">
            <w:pPr>
              <w:spacing w:after="160" w:line="259" w:lineRule="auto"/>
              <w:rPr>
                <w:rFonts w:cstheme="minorHAnsi"/>
                <w:color w:val="17365D" w:themeColor="text2" w:themeShade="BF"/>
                <w:sz w:val="20"/>
                <w:szCs w:val="20"/>
              </w:rPr>
            </w:pPr>
            <w:r w:rsidRPr="006D1150">
              <w:rPr>
                <w:rFonts w:cstheme="minorHAnsi"/>
                <w:color w:val="17365D" w:themeColor="text2" w:themeShade="BF"/>
                <w:sz w:val="20"/>
                <w:szCs w:val="20"/>
              </w:rPr>
              <w:t>Executive staff Whakatāne District Council and Bay of Plenty Regional Council</w:t>
            </w:r>
          </w:p>
          <w:p w:rsidR="00E30C31" w:rsidRPr="006D1150" w:rsidRDefault="00E30C31" w:rsidP="004749D1">
            <w:pPr>
              <w:spacing w:after="160"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Operational </w:t>
            </w:r>
            <w:r>
              <w:rPr>
                <w:rFonts w:cstheme="minorHAnsi"/>
                <w:color w:val="17365D" w:themeColor="text2" w:themeShade="BF"/>
                <w:sz w:val="20"/>
                <w:szCs w:val="20"/>
              </w:rPr>
              <w:t xml:space="preserve">and support </w:t>
            </w:r>
            <w:r w:rsidRPr="006D1150">
              <w:rPr>
                <w:rFonts w:cstheme="minorHAnsi"/>
                <w:color w:val="17365D" w:themeColor="text2" w:themeShade="BF"/>
                <w:sz w:val="20"/>
                <w:szCs w:val="20"/>
              </w:rPr>
              <w:t>staff</w:t>
            </w:r>
            <w:r>
              <w:rPr>
                <w:rFonts w:cstheme="minorHAnsi"/>
                <w:color w:val="17365D" w:themeColor="text2" w:themeShade="BF"/>
                <w:sz w:val="20"/>
                <w:szCs w:val="20"/>
              </w:rPr>
              <w:t>:</w:t>
            </w:r>
            <w:r w:rsidRPr="006D1150">
              <w:rPr>
                <w:rFonts w:cstheme="minorHAnsi"/>
                <w:color w:val="17365D" w:themeColor="text2" w:themeShade="BF"/>
                <w:sz w:val="20"/>
                <w:szCs w:val="20"/>
              </w:rPr>
              <w:t xml:space="preserve"> Roading, Building Control, Consents team, Customer Service staff; Bay of Plenty Regional Council Rivers and Drainage team, Technical Services team</w:t>
            </w:r>
          </w:p>
          <w:p w:rsidR="00E30C31" w:rsidRPr="006D1150" w:rsidRDefault="00E30C31" w:rsidP="009457EB">
            <w:pPr>
              <w:spacing w:after="160"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Liveable Homes Project </w:t>
            </w:r>
            <w:r w:rsidR="009457EB">
              <w:rPr>
                <w:rFonts w:cstheme="minorHAnsi"/>
                <w:color w:val="17365D" w:themeColor="text2" w:themeShade="BF"/>
                <w:sz w:val="20"/>
                <w:szCs w:val="20"/>
              </w:rPr>
              <w:t>Team</w:t>
            </w:r>
          </w:p>
        </w:tc>
      </w:tr>
      <w:tr w:rsidR="00E30C31" w:rsidRPr="006D1150" w:rsidTr="00D60C29">
        <w:trPr>
          <w:trHeight w:val="656"/>
        </w:trPr>
        <w:tc>
          <w:tcPr>
            <w:tcW w:w="4786" w:type="dxa"/>
            <w:shd w:val="clear" w:color="auto" w:fill="1F497D" w:themeFill="text2"/>
          </w:tcPr>
          <w:p w:rsidR="00E30C31" w:rsidRPr="006D1150" w:rsidRDefault="00E30C31" w:rsidP="004749D1">
            <w:pPr>
              <w:rPr>
                <w:rFonts w:cstheme="minorHAnsi"/>
                <w:b/>
                <w:color w:val="FFFFFF" w:themeColor="background1"/>
                <w:sz w:val="20"/>
                <w:szCs w:val="20"/>
              </w:rPr>
            </w:pPr>
            <w:r w:rsidRPr="006D1150">
              <w:rPr>
                <w:rFonts w:cstheme="minorHAnsi"/>
                <w:b/>
                <w:color w:val="FFFFFF" w:themeColor="background1"/>
                <w:sz w:val="20"/>
                <w:szCs w:val="20"/>
              </w:rPr>
              <w:t>Partners</w:t>
            </w:r>
          </w:p>
        </w:tc>
        <w:tc>
          <w:tcPr>
            <w:tcW w:w="4786" w:type="dxa"/>
            <w:shd w:val="clear" w:color="auto" w:fill="1F497D" w:themeFill="text2"/>
          </w:tcPr>
          <w:p w:rsidR="00E30C31" w:rsidRPr="006D1150" w:rsidRDefault="00E30C31" w:rsidP="004749D1">
            <w:pPr>
              <w:rPr>
                <w:rFonts w:cstheme="minorHAnsi"/>
                <w:b/>
                <w:color w:val="FFFFFF" w:themeColor="background1"/>
                <w:sz w:val="20"/>
                <w:szCs w:val="20"/>
              </w:rPr>
            </w:pPr>
            <w:r w:rsidRPr="006D1150">
              <w:rPr>
                <w:rFonts w:cstheme="minorHAnsi"/>
                <w:b/>
                <w:color w:val="FFFFFF" w:themeColor="background1"/>
                <w:sz w:val="20"/>
                <w:szCs w:val="20"/>
              </w:rPr>
              <w:t>Government and non-government organisations/agencies</w:t>
            </w:r>
          </w:p>
        </w:tc>
      </w:tr>
      <w:tr w:rsidR="00E30C31" w:rsidRPr="006D1150" w:rsidTr="00D60C29">
        <w:trPr>
          <w:trHeight w:val="5293"/>
        </w:trPr>
        <w:tc>
          <w:tcPr>
            <w:tcW w:w="4786" w:type="dxa"/>
          </w:tcPr>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Ngāti Awa</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Ngāti Manawa</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Ngāti Rangitihi </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Ngāti Whare</w:t>
            </w:r>
          </w:p>
          <w:p w:rsidR="00E30C31"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Tūhoe – Te Uru Taumatua</w:t>
            </w:r>
          </w:p>
          <w:p w:rsidR="000715A6" w:rsidRPr="006D1150" w:rsidRDefault="000715A6" w:rsidP="004749D1">
            <w:pPr>
              <w:spacing w:line="259" w:lineRule="auto"/>
              <w:rPr>
                <w:rFonts w:cstheme="minorHAnsi"/>
                <w:color w:val="17365D" w:themeColor="text2" w:themeShade="BF"/>
                <w:sz w:val="20"/>
                <w:szCs w:val="20"/>
              </w:rPr>
            </w:pPr>
            <w:r>
              <w:rPr>
                <w:rFonts w:cstheme="minorHAnsi"/>
                <w:color w:val="17365D" w:themeColor="text2" w:themeShade="BF"/>
                <w:sz w:val="20"/>
                <w:szCs w:val="20"/>
              </w:rPr>
              <w:t>Community Focus Group</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Iwi Chairs Forum</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Bay of Plenty Regional Council</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Emergency Management Bay of Plenty</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Pou Whakaaro</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Eastern Bay Chamber of Commerce </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Rural Support Trust</w:t>
            </w:r>
          </w:p>
          <w:p w:rsidR="00E30C31" w:rsidRPr="006D1150" w:rsidRDefault="00E30C31" w:rsidP="004749D1">
            <w:pPr>
              <w:spacing w:line="259" w:lineRule="auto"/>
              <w:rPr>
                <w:rFonts w:cstheme="minorHAnsi"/>
                <w:color w:val="17365D" w:themeColor="text2" w:themeShade="BF"/>
                <w:sz w:val="20"/>
                <w:szCs w:val="20"/>
              </w:rPr>
            </w:pPr>
          </w:p>
        </w:tc>
        <w:tc>
          <w:tcPr>
            <w:tcW w:w="4786" w:type="dxa"/>
          </w:tcPr>
          <w:p w:rsidR="00E30C31"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Ministers Anne Tolley, Nathan Guy, Te Ururoa Flavell</w:t>
            </w:r>
          </w:p>
          <w:p w:rsidR="00D13D33" w:rsidRDefault="00D13D33" w:rsidP="00D13D33">
            <w:pPr>
              <w:spacing w:line="259" w:lineRule="auto"/>
              <w:rPr>
                <w:rFonts w:cstheme="minorHAnsi"/>
                <w:color w:val="17365D" w:themeColor="text2" w:themeShade="BF"/>
                <w:sz w:val="20"/>
                <w:szCs w:val="20"/>
              </w:rPr>
            </w:pPr>
            <w:r>
              <w:rPr>
                <w:rFonts w:cstheme="minorHAnsi"/>
                <w:color w:val="17365D" w:themeColor="text2" w:themeShade="BF"/>
                <w:sz w:val="20"/>
                <w:szCs w:val="20"/>
              </w:rPr>
              <w:t>National Recovery Office</w:t>
            </w:r>
          </w:p>
          <w:p w:rsidR="00E30C31" w:rsidRPr="006D1150" w:rsidRDefault="00E30C31" w:rsidP="00D13D33">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Ministry of Social Development</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Ministry </w:t>
            </w:r>
            <w:r w:rsidR="00740A3C">
              <w:rPr>
                <w:rFonts w:cstheme="minorHAnsi"/>
                <w:color w:val="17365D" w:themeColor="text2" w:themeShade="BF"/>
                <w:sz w:val="20"/>
                <w:szCs w:val="20"/>
              </w:rPr>
              <w:t>for</w:t>
            </w:r>
            <w:r w:rsidRPr="006D1150">
              <w:rPr>
                <w:rFonts w:cstheme="minorHAnsi"/>
                <w:color w:val="17365D" w:themeColor="text2" w:themeShade="BF"/>
                <w:sz w:val="20"/>
                <w:szCs w:val="20"/>
              </w:rPr>
              <w:t xml:space="preserve"> Business, Innovation and Employment</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Ministry </w:t>
            </w:r>
            <w:r w:rsidR="00740A3C">
              <w:rPr>
                <w:rFonts w:cstheme="minorHAnsi"/>
                <w:color w:val="17365D" w:themeColor="text2" w:themeShade="BF"/>
                <w:sz w:val="20"/>
                <w:szCs w:val="20"/>
              </w:rPr>
              <w:t>for</w:t>
            </w:r>
            <w:r w:rsidRPr="006D1150">
              <w:rPr>
                <w:rFonts w:cstheme="minorHAnsi"/>
                <w:color w:val="17365D" w:themeColor="text2" w:themeShade="BF"/>
                <w:sz w:val="20"/>
                <w:szCs w:val="20"/>
              </w:rPr>
              <w:t xml:space="preserve"> Primary Industries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Department of Internal Affairs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Earthquake Commission</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Ministry of Civil Defence and Emergency Management</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 xml:space="preserve">Bay of Plenty District Health Board  </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Ngāti Awa Social and Health Services</w:t>
            </w:r>
          </w:p>
          <w:p w:rsidR="009457EB" w:rsidRDefault="009457EB" w:rsidP="004749D1">
            <w:pPr>
              <w:spacing w:line="259" w:lineRule="auto"/>
              <w:rPr>
                <w:rFonts w:cstheme="minorHAnsi"/>
                <w:color w:val="17365D" w:themeColor="text2" w:themeShade="BF"/>
                <w:sz w:val="20"/>
                <w:szCs w:val="20"/>
              </w:rPr>
            </w:pPr>
            <w:r>
              <w:rPr>
                <w:rFonts w:cstheme="minorHAnsi"/>
                <w:color w:val="17365D" w:themeColor="text2" w:themeShade="BF"/>
                <w:sz w:val="20"/>
                <w:szCs w:val="20"/>
              </w:rPr>
              <w:t>Te Rūnanga o Ngāti Awa</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NZ Red Cross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Federated Farmers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Insurance Council of New Zealand</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Insurance providers</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Whakatāne Citizens Advice Bureau</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Community Law</w:t>
            </w:r>
          </w:p>
          <w:p w:rsidR="00E30C31" w:rsidRPr="006D1150" w:rsidRDefault="00E30C31" w:rsidP="004749D1">
            <w:pPr>
              <w:spacing w:line="259" w:lineRule="auto"/>
              <w:rPr>
                <w:rFonts w:cstheme="minorHAnsi"/>
                <w:color w:val="17365D" w:themeColor="text2" w:themeShade="BF"/>
                <w:sz w:val="20"/>
                <w:szCs w:val="20"/>
              </w:rPr>
            </w:pPr>
            <w:r w:rsidRPr="006D1150">
              <w:rPr>
                <w:rFonts w:cstheme="minorHAnsi"/>
                <w:color w:val="17365D" w:themeColor="text2" w:themeShade="BF"/>
                <w:sz w:val="20"/>
                <w:szCs w:val="20"/>
              </w:rPr>
              <w:t>Community funders: Eastern Bay Energy Trust, BayTrust, Lion Foundation, J N Williams Trust, Rotary Whakatāne West</w:t>
            </w:r>
            <w:r w:rsidR="009457EB">
              <w:rPr>
                <w:rFonts w:cstheme="minorHAnsi"/>
                <w:color w:val="17365D" w:themeColor="text2" w:themeShade="BF"/>
                <w:sz w:val="20"/>
                <w:szCs w:val="20"/>
              </w:rPr>
              <w:t>, Southern Trust</w:t>
            </w:r>
          </w:p>
        </w:tc>
      </w:tr>
    </w:tbl>
    <w:p w:rsidR="00E30C31" w:rsidRPr="000F64ED" w:rsidRDefault="00E30C31" w:rsidP="000F64ED">
      <w:pPr>
        <w:pStyle w:val="Heading2"/>
      </w:pPr>
      <w:r w:rsidRPr="000F64ED">
        <w:lastRenderedPageBreak/>
        <w:t>Partnering with Iwi</w:t>
      </w:r>
    </w:p>
    <w:p w:rsidR="000715A6" w:rsidRDefault="00E30C31" w:rsidP="00E30C31">
      <w:pPr>
        <w:rPr>
          <w:rFonts w:cstheme="minorHAnsi"/>
        </w:rPr>
      </w:pPr>
      <w:r w:rsidRPr="001844D5">
        <w:rPr>
          <w:rFonts w:cstheme="minorHAnsi"/>
        </w:rPr>
        <w:t>For Iwi, it has been agreed through initial hui with various Iwi Authorities that communications and updates from the Recovery Team will be provided regularly as the project develops towards restoring wellbeing and opportunities to the affected communities within the District.  Engagement with Iwi may lead to partnership opportunities between the Recovery Team and Iwi as the Recovery Project progresses.</w:t>
      </w:r>
    </w:p>
    <w:p w:rsidR="000715A6" w:rsidRPr="001844D5" w:rsidRDefault="000715A6" w:rsidP="00E30C31">
      <w:pPr>
        <w:rPr>
          <w:rFonts w:cstheme="minorHAnsi"/>
        </w:rPr>
      </w:pPr>
      <w:r>
        <w:rPr>
          <w:rFonts w:cstheme="minorHAnsi"/>
        </w:rPr>
        <w:t xml:space="preserve">For more detail on Iwi </w:t>
      </w:r>
      <w:r w:rsidR="000F64ED">
        <w:rPr>
          <w:rFonts w:cstheme="minorHAnsi"/>
        </w:rPr>
        <w:t>engagement, including existing forums, refer to the Iwi Engagement section.</w:t>
      </w:r>
    </w:p>
    <w:p w:rsidR="00E30C31" w:rsidRPr="000F64ED" w:rsidRDefault="00E30C31" w:rsidP="00B1537E">
      <w:pPr>
        <w:pStyle w:val="Heading2"/>
        <w:tabs>
          <w:tab w:val="left" w:pos="5520"/>
        </w:tabs>
      </w:pPr>
      <w:r w:rsidRPr="000F64ED">
        <w:t xml:space="preserve">Communication and engagement </w:t>
      </w:r>
      <w:r w:rsidR="00B1537E">
        <w:tab/>
      </w:r>
    </w:p>
    <w:p w:rsidR="00E30C31" w:rsidRDefault="00E30C31" w:rsidP="00E30C31">
      <w:pPr>
        <w:rPr>
          <w:rFonts w:cstheme="minorHAnsi"/>
        </w:rPr>
      </w:pPr>
      <w:r>
        <w:rPr>
          <w:rFonts w:cstheme="minorHAnsi"/>
        </w:rPr>
        <w:t xml:space="preserve">This Partnership Plan draws </w:t>
      </w:r>
      <w:r w:rsidRPr="00810624">
        <w:rPr>
          <w:rFonts w:cstheme="minorHAnsi"/>
        </w:rPr>
        <w:t xml:space="preserve">on </w:t>
      </w:r>
      <w:r>
        <w:rPr>
          <w:rFonts w:cstheme="minorHAnsi"/>
        </w:rPr>
        <w:t>the IAP2 spectrum with the emphasis in this community recovery being on involvement and collaboration.</w:t>
      </w:r>
    </w:p>
    <w:p w:rsidR="00732661" w:rsidRDefault="00E30C31" w:rsidP="00E30C31">
      <w:pPr>
        <w:rPr>
          <w:rFonts w:cstheme="minorHAnsi"/>
        </w:rPr>
      </w:pPr>
      <w:r>
        <w:rPr>
          <w:rFonts w:cstheme="minorHAnsi"/>
        </w:rPr>
        <w:t xml:space="preserve">To date the following have been delivered as part of the communication and engagement activity. </w:t>
      </w:r>
      <w:r w:rsidR="00732661">
        <w:rPr>
          <w:rFonts w:cstheme="minorHAnsi"/>
        </w:rPr>
        <w:t xml:space="preserve"> The table </w:t>
      </w:r>
      <w:r w:rsidR="00843C38">
        <w:rPr>
          <w:rFonts w:cstheme="minorHAnsi"/>
        </w:rPr>
        <w:t xml:space="preserve">below </w:t>
      </w:r>
      <w:r w:rsidR="00732661">
        <w:rPr>
          <w:rFonts w:cstheme="minorHAnsi"/>
        </w:rPr>
        <w:t xml:space="preserve">demonstrates a vast array of activities that </w:t>
      </w:r>
      <w:r w:rsidR="00740A3C">
        <w:rPr>
          <w:rFonts w:cstheme="minorHAnsi"/>
        </w:rPr>
        <w:t>fit</w:t>
      </w:r>
      <w:r w:rsidR="00732661">
        <w:rPr>
          <w:rFonts w:cstheme="minorHAnsi"/>
        </w:rPr>
        <w:t xml:space="preserve"> on the IAP2 spectrum from “informing” through to “empowering”.  Generally, as time moves on, the nature of communication and engagement has changed from providing information (informing) in the early stages of Recovery to involving, collaborating and empowering the community </w:t>
      </w:r>
      <w:r w:rsidR="00843C38">
        <w:rPr>
          <w:rFonts w:cstheme="minorHAnsi"/>
        </w:rPr>
        <w:t>to ‘focus’ on the future</w:t>
      </w:r>
      <w:r w:rsidR="00732661">
        <w:rPr>
          <w:rFonts w:cstheme="minorHAnsi"/>
        </w:rPr>
        <w:t>.</w:t>
      </w:r>
    </w:p>
    <w:tbl>
      <w:tblPr>
        <w:tblStyle w:val="TableGrid"/>
        <w:tblW w:w="0" w:type="auto"/>
        <w:tblLook w:val="04A0" w:firstRow="1" w:lastRow="0" w:firstColumn="1" w:lastColumn="0" w:noHBand="0" w:noVBand="1"/>
      </w:tblPr>
      <w:tblGrid>
        <w:gridCol w:w="2185"/>
        <w:gridCol w:w="6832"/>
      </w:tblGrid>
      <w:tr w:rsidR="00E30C31" w:rsidRPr="00F412D8" w:rsidTr="00D60C29">
        <w:tc>
          <w:tcPr>
            <w:tcW w:w="2177" w:type="dxa"/>
            <w:shd w:val="clear" w:color="auto" w:fill="1F497D" w:themeFill="text2"/>
          </w:tcPr>
          <w:p w:rsidR="00E30C31" w:rsidRPr="00D60C29" w:rsidRDefault="008D25FA" w:rsidP="004749D1">
            <w:pPr>
              <w:rPr>
                <w:rFonts w:cstheme="minorHAnsi"/>
                <w:b/>
                <w:color w:val="FFFFFF" w:themeColor="background1"/>
                <w:sz w:val="20"/>
                <w:szCs w:val="20"/>
              </w:rPr>
            </w:pPr>
            <w:r>
              <w:rPr>
                <w:rFonts w:cstheme="minorHAnsi"/>
                <w:b/>
                <w:color w:val="FFFFFF" w:themeColor="background1"/>
                <w:sz w:val="20"/>
                <w:szCs w:val="20"/>
              </w:rPr>
              <w:t>Whakamōhio</w:t>
            </w:r>
            <w:r w:rsidR="00E30C31" w:rsidRPr="00D60C29">
              <w:rPr>
                <w:rFonts w:cstheme="minorHAnsi"/>
                <w:b/>
                <w:color w:val="FFFFFF" w:themeColor="background1"/>
                <w:sz w:val="20"/>
                <w:szCs w:val="20"/>
              </w:rPr>
              <w:t xml:space="preserve">/Inform </w:t>
            </w:r>
          </w:p>
          <w:p w:rsidR="00E30C31" w:rsidRPr="00D60C29" w:rsidRDefault="00E30C31" w:rsidP="004749D1">
            <w:pPr>
              <w:rPr>
                <w:rFonts w:cstheme="minorHAnsi"/>
                <w:b/>
                <w:color w:val="FFFFFF" w:themeColor="background1"/>
                <w:sz w:val="20"/>
                <w:szCs w:val="20"/>
              </w:rPr>
            </w:pPr>
          </w:p>
          <w:p w:rsidR="00E30C31" w:rsidRPr="00D60C29" w:rsidRDefault="00E30C31" w:rsidP="004749D1">
            <w:pPr>
              <w:rPr>
                <w:rFonts w:cstheme="minorHAnsi"/>
                <w:b/>
                <w:i/>
                <w:color w:val="FFFFFF" w:themeColor="background1"/>
                <w:sz w:val="20"/>
                <w:szCs w:val="20"/>
              </w:rPr>
            </w:pPr>
            <w:r w:rsidRPr="00D60C29">
              <w:rPr>
                <w:rFonts w:cstheme="minorHAnsi"/>
                <w:b/>
                <w:i/>
                <w:color w:val="FFFFFF" w:themeColor="background1"/>
                <w:sz w:val="20"/>
                <w:szCs w:val="20"/>
              </w:rPr>
              <w:t>Providing clear, balanced and objective information</w:t>
            </w:r>
          </w:p>
          <w:p w:rsidR="00E30C31" w:rsidRPr="00D60C29" w:rsidRDefault="00E30C31" w:rsidP="004749D1">
            <w:pPr>
              <w:rPr>
                <w:rFonts w:cstheme="minorHAnsi"/>
                <w:b/>
                <w:color w:val="FFFFFF" w:themeColor="background1"/>
                <w:sz w:val="20"/>
                <w:szCs w:val="20"/>
              </w:rPr>
            </w:pPr>
          </w:p>
        </w:tc>
        <w:tc>
          <w:tcPr>
            <w:tcW w:w="7066" w:type="dxa"/>
          </w:tcPr>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Signage at the entrance to affected communities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 xml:space="preserve">Establishment of Te Tari </w:t>
            </w:r>
            <w:r w:rsidR="001F2416">
              <w:rPr>
                <w:rFonts w:cstheme="minorHAnsi"/>
                <w:color w:val="17365D" w:themeColor="text2" w:themeShade="BF"/>
                <w:sz w:val="20"/>
                <w:szCs w:val="20"/>
              </w:rPr>
              <w:t>Āwhina</w:t>
            </w:r>
            <w:r w:rsidRPr="00D60C29">
              <w:rPr>
                <w:rFonts w:cstheme="minorHAnsi"/>
                <w:color w:val="17365D" w:themeColor="text2" w:themeShade="BF"/>
                <w:sz w:val="20"/>
                <w:szCs w:val="20"/>
              </w:rPr>
              <w:t xml:space="preserve"> – Community Hub at Edgecumbe Library and Community Information Hubs at Whakatāne and Murupara Libraries and Kawerau i-SITE</w:t>
            </w:r>
          </w:p>
          <w:p w:rsidR="00E30C31" w:rsidRPr="00D60C29" w:rsidRDefault="00D13D33"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 xml:space="preserve">Recovery Newsletter – bi-weekly, two </w:t>
            </w:r>
            <w:r w:rsidR="00E30C31" w:rsidRPr="00D60C29">
              <w:rPr>
                <w:rFonts w:cstheme="minorHAnsi"/>
                <w:color w:val="17365D" w:themeColor="text2" w:themeShade="BF"/>
                <w:sz w:val="20"/>
                <w:szCs w:val="20"/>
              </w:rPr>
              <w:t>page newsletter</w:t>
            </w:r>
            <w:r w:rsidRPr="00D60C29">
              <w:rPr>
                <w:rFonts w:cstheme="minorHAnsi"/>
                <w:color w:val="17365D" w:themeColor="text2" w:themeShade="BF"/>
                <w:sz w:val="20"/>
                <w:szCs w:val="20"/>
              </w:rPr>
              <w:t>s</w:t>
            </w:r>
            <w:r w:rsidR="00E30C31" w:rsidRPr="00D60C29">
              <w:rPr>
                <w:rFonts w:cstheme="minorHAnsi"/>
                <w:color w:val="17365D" w:themeColor="text2" w:themeShade="BF"/>
                <w:sz w:val="20"/>
                <w:szCs w:val="20"/>
              </w:rPr>
              <w:t xml:space="preserve"> published in the Whakatāne Beacon and distributed in mail-chimp format to over 800 email addresses per edition. Twenty-five newsletters produced to date</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Newsletter content communicated through Social Media platforms, specific Recovery Facebook Page and associated high membership community Facebook accounts eg, Kia Kaha Edgecumbe</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 xml:space="preserve">Daily radio messaging on local radio stations, including Iwi stations and utilising Te Reo </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Rural Recovery Newsletter – specialised messaging for rural community. Production schedule determined by time-sensitive content</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Safety messaging directly to school children/parents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Media releases in response to key milestones/activities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Community Expo providing information to affected residents, attended by 17 agencies</w:t>
            </w:r>
          </w:p>
          <w:p w:rsidR="00D13D33" w:rsidRPr="00D60C29" w:rsidRDefault="00D13D33"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Insurance Open Day</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Display advertisements of various funds – eg MPI, MBIE</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 xml:space="preserve">Rural barbecues, morning teas </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color w:val="17365D" w:themeColor="text2" w:themeShade="BF"/>
                <w:sz w:val="20"/>
                <w:szCs w:val="20"/>
              </w:rPr>
              <w:t>Cultural support accessed for Recovery events and service launches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color w:val="17365D" w:themeColor="text2" w:themeShade="BF"/>
                <w:sz w:val="20"/>
                <w:szCs w:val="20"/>
              </w:rPr>
              <w:t>Strategic Advisor Māori CD-event debrief with Rūnanga Chief Executives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color w:val="17365D" w:themeColor="text2" w:themeShade="BF"/>
                <w:sz w:val="20"/>
                <w:szCs w:val="20"/>
              </w:rPr>
              <w:t>Strategic Advisor Māori weekly Recovery Update briefings with Rūnanga Chief Executives</w:t>
            </w:r>
          </w:p>
          <w:p w:rsidR="00E30C31" w:rsidRPr="00D60C29" w:rsidRDefault="00E30C31" w:rsidP="00D60C29">
            <w:pPr>
              <w:pStyle w:val="ListParagraph"/>
              <w:numPr>
                <w:ilvl w:val="0"/>
                <w:numId w:val="43"/>
              </w:numPr>
              <w:spacing w:after="160" w:line="259" w:lineRule="auto"/>
              <w:rPr>
                <w:rFonts w:cstheme="minorHAnsi"/>
                <w:color w:val="17365D" w:themeColor="text2" w:themeShade="BF"/>
                <w:sz w:val="20"/>
                <w:szCs w:val="20"/>
              </w:rPr>
            </w:pPr>
            <w:r w:rsidRPr="00D60C29">
              <w:rPr>
                <w:color w:val="17365D" w:themeColor="text2" w:themeShade="BF"/>
                <w:sz w:val="20"/>
                <w:szCs w:val="20"/>
              </w:rPr>
              <w:t>Strategic Advisor Māori support for WDC Roading Manager to engage re: key programme planning, implementation, progress.</w:t>
            </w:r>
          </w:p>
        </w:tc>
      </w:tr>
      <w:tr w:rsidR="00E30C31" w:rsidRPr="00F412D8" w:rsidTr="00D60C29">
        <w:trPr>
          <w:cantSplit/>
        </w:trPr>
        <w:tc>
          <w:tcPr>
            <w:tcW w:w="2177" w:type="dxa"/>
            <w:shd w:val="clear" w:color="auto" w:fill="1F497D" w:themeFill="text2"/>
          </w:tcPr>
          <w:p w:rsidR="00E30C31" w:rsidRPr="00D60C29" w:rsidRDefault="008D25FA" w:rsidP="004749D1">
            <w:pPr>
              <w:rPr>
                <w:rFonts w:cstheme="minorHAnsi"/>
                <w:b/>
                <w:color w:val="FFFFFF" w:themeColor="background1"/>
                <w:sz w:val="20"/>
                <w:szCs w:val="20"/>
              </w:rPr>
            </w:pPr>
            <w:r>
              <w:rPr>
                <w:rFonts w:cstheme="minorHAnsi"/>
                <w:b/>
                <w:color w:val="FFFFFF" w:themeColor="background1"/>
                <w:sz w:val="20"/>
                <w:szCs w:val="20"/>
              </w:rPr>
              <w:lastRenderedPageBreak/>
              <w:t>Whakawhirinaki</w:t>
            </w:r>
            <w:r w:rsidR="00E30C31" w:rsidRPr="00D60C29">
              <w:rPr>
                <w:rFonts w:cstheme="minorHAnsi"/>
                <w:b/>
                <w:color w:val="FFFFFF" w:themeColor="background1"/>
                <w:sz w:val="20"/>
                <w:szCs w:val="20"/>
              </w:rPr>
              <w:t>/Consult</w:t>
            </w:r>
          </w:p>
          <w:p w:rsidR="00E30C31" w:rsidRPr="00D60C29" w:rsidRDefault="00E30C31" w:rsidP="004749D1">
            <w:pPr>
              <w:rPr>
                <w:rFonts w:cstheme="minorHAnsi"/>
                <w:b/>
                <w:color w:val="FFFFFF" w:themeColor="background1"/>
                <w:sz w:val="20"/>
                <w:szCs w:val="20"/>
              </w:rPr>
            </w:pPr>
          </w:p>
          <w:p w:rsidR="00E30C31" w:rsidRPr="00D60C29" w:rsidRDefault="00E30C31" w:rsidP="004749D1">
            <w:pPr>
              <w:rPr>
                <w:rFonts w:cstheme="minorHAnsi"/>
                <w:b/>
                <w:i/>
                <w:color w:val="FFFFFF" w:themeColor="background1"/>
                <w:sz w:val="20"/>
                <w:szCs w:val="20"/>
              </w:rPr>
            </w:pPr>
            <w:r w:rsidRPr="00D60C29">
              <w:rPr>
                <w:rFonts w:cstheme="minorHAnsi"/>
                <w:b/>
                <w:i/>
                <w:color w:val="FFFFFF" w:themeColor="background1"/>
                <w:sz w:val="20"/>
                <w:szCs w:val="20"/>
              </w:rPr>
              <w:t>Obtaining feedback as input to decision-making</w:t>
            </w:r>
          </w:p>
          <w:p w:rsidR="00E30C31" w:rsidRPr="00D60C29" w:rsidRDefault="00E30C31" w:rsidP="004749D1">
            <w:pPr>
              <w:rPr>
                <w:rFonts w:cstheme="minorHAnsi"/>
                <w:b/>
                <w:color w:val="FFFFFF" w:themeColor="background1"/>
                <w:sz w:val="20"/>
                <w:szCs w:val="20"/>
              </w:rPr>
            </w:pPr>
          </w:p>
        </w:tc>
        <w:tc>
          <w:tcPr>
            <w:tcW w:w="7066" w:type="dxa"/>
          </w:tcPr>
          <w:p w:rsidR="00E30C31" w:rsidRPr="00D60C29" w:rsidRDefault="00E30C31" w:rsidP="00D60C29">
            <w:pPr>
              <w:pStyle w:val="ListParagraph"/>
              <w:numPr>
                <w:ilvl w:val="0"/>
                <w:numId w:val="44"/>
              </w:numPr>
              <w:spacing w:after="160" w:line="259" w:lineRule="auto"/>
              <w:rPr>
                <w:rFonts w:cstheme="minorHAnsi"/>
                <w:color w:val="17365D" w:themeColor="text2" w:themeShade="BF"/>
                <w:sz w:val="20"/>
                <w:szCs w:val="20"/>
              </w:rPr>
            </w:pPr>
            <w:r w:rsidRPr="00D60C29">
              <w:rPr>
                <w:rFonts w:cstheme="minorHAnsi"/>
                <w:color w:val="17365D" w:themeColor="text2" w:themeShade="BF"/>
                <w:sz w:val="20"/>
                <w:szCs w:val="20"/>
              </w:rPr>
              <w:t>Regular meetings with Edgecumbe Community Focus Group (ECFG)</w:t>
            </w:r>
          </w:p>
          <w:p w:rsidR="00E30C31" w:rsidRPr="00D60C29" w:rsidRDefault="00E30C31" w:rsidP="00D60C29">
            <w:pPr>
              <w:pStyle w:val="ListParagraph"/>
              <w:numPr>
                <w:ilvl w:val="0"/>
                <w:numId w:val="44"/>
              </w:numPr>
              <w:spacing w:after="160" w:line="259" w:lineRule="auto"/>
              <w:rPr>
                <w:rFonts w:cstheme="minorHAnsi"/>
                <w:b/>
                <w:color w:val="17365D" w:themeColor="text2" w:themeShade="BF"/>
                <w:sz w:val="20"/>
                <w:szCs w:val="20"/>
              </w:rPr>
            </w:pPr>
            <w:r w:rsidRPr="00D60C29">
              <w:rPr>
                <w:rFonts w:cstheme="minorHAnsi"/>
                <w:color w:val="17365D" w:themeColor="text2" w:themeShade="BF"/>
                <w:sz w:val="20"/>
                <w:szCs w:val="20"/>
              </w:rPr>
              <w:t>ECFG feedback into review of Recovery Communications Plan re: frequency of messaging.</w:t>
            </w:r>
          </w:p>
          <w:p w:rsidR="00E30C31" w:rsidRPr="00D60C29" w:rsidRDefault="00E30C31" w:rsidP="00D60C29">
            <w:pPr>
              <w:pStyle w:val="ListParagraph"/>
              <w:numPr>
                <w:ilvl w:val="0"/>
                <w:numId w:val="44"/>
              </w:numPr>
              <w:spacing w:after="160" w:line="259" w:lineRule="auto"/>
              <w:rPr>
                <w:rFonts w:cstheme="minorHAnsi"/>
                <w:b/>
                <w:color w:val="17365D" w:themeColor="text2" w:themeShade="BF"/>
                <w:sz w:val="20"/>
                <w:szCs w:val="20"/>
              </w:rPr>
            </w:pPr>
            <w:r w:rsidRPr="00D60C29">
              <w:rPr>
                <w:rFonts w:cstheme="minorHAnsi"/>
                <w:color w:val="17365D" w:themeColor="text2" w:themeShade="BF"/>
                <w:sz w:val="20"/>
                <w:szCs w:val="20"/>
              </w:rPr>
              <w:t>Stakeholder feedback into Draft Recovery Action Programme, including Iwi Partnership.</w:t>
            </w:r>
          </w:p>
        </w:tc>
      </w:tr>
      <w:tr w:rsidR="00E30C31" w:rsidRPr="00F412D8" w:rsidTr="00D60C29">
        <w:tc>
          <w:tcPr>
            <w:tcW w:w="2177" w:type="dxa"/>
            <w:shd w:val="clear" w:color="auto" w:fill="1F497D" w:themeFill="text2"/>
          </w:tcPr>
          <w:p w:rsidR="00E30C31" w:rsidRPr="00D60C29" w:rsidRDefault="008D25FA" w:rsidP="004749D1">
            <w:pPr>
              <w:rPr>
                <w:rFonts w:cstheme="minorHAnsi"/>
                <w:b/>
                <w:color w:val="FFFFFF" w:themeColor="background1"/>
                <w:sz w:val="20"/>
                <w:szCs w:val="20"/>
              </w:rPr>
            </w:pPr>
            <w:r>
              <w:rPr>
                <w:rFonts w:cstheme="minorHAnsi"/>
                <w:b/>
                <w:color w:val="FFFFFF" w:themeColor="background1"/>
                <w:sz w:val="20"/>
                <w:szCs w:val="20"/>
              </w:rPr>
              <w:t>Wawata</w:t>
            </w:r>
            <w:r w:rsidR="00E30C31" w:rsidRPr="00D60C29">
              <w:rPr>
                <w:rFonts w:cstheme="minorHAnsi"/>
                <w:b/>
                <w:color w:val="FFFFFF" w:themeColor="background1"/>
                <w:sz w:val="20"/>
                <w:szCs w:val="20"/>
              </w:rPr>
              <w:t xml:space="preserve">/Involve </w:t>
            </w:r>
          </w:p>
          <w:p w:rsidR="00E30C31" w:rsidRPr="00D60C29" w:rsidRDefault="00E30C31" w:rsidP="004749D1">
            <w:pPr>
              <w:rPr>
                <w:rFonts w:cstheme="minorHAnsi"/>
                <w:b/>
                <w:color w:val="FFFFFF" w:themeColor="background1"/>
                <w:sz w:val="20"/>
                <w:szCs w:val="20"/>
              </w:rPr>
            </w:pPr>
          </w:p>
          <w:p w:rsidR="00E30C31" w:rsidRPr="00D60C29" w:rsidRDefault="00E30C31" w:rsidP="004749D1">
            <w:pPr>
              <w:rPr>
                <w:rFonts w:cstheme="minorHAnsi"/>
                <w:b/>
                <w:i/>
                <w:color w:val="FFFFFF" w:themeColor="background1"/>
                <w:sz w:val="20"/>
                <w:szCs w:val="20"/>
              </w:rPr>
            </w:pPr>
            <w:r w:rsidRPr="00D60C29">
              <w:rPr>
                <w:rFonts w:cstheme="minorHAnsi"/>
                <w:b/>
                <w:i/>
                <w:color w:val="FFFFFF" w:themeColor="background1"/>
                <w:sz w:val="20"/>
                <w:szCs w:val="20"/>
              </w:rPr>
              <w:t xml:space="preserve">Working directly with people and ensuring that their aspirations are understood and reflected in outcomes </w:t>
            </w:r>
          </w:p>
          <w:p w:rsidR="00E30C31" w:rsidRPr="00D60C29" w:rsidRDefault="00E30C31" w:rsidP="004749D1">
            <w:pPr>
              <w:rPr>
                <w:rFonts w:cstheme="minorHAnsi"/>
                <w:b/>
                <w:color w:val="FFFFFF" w:themeColor="background1"/>
                <w:sz w:val="20"/>
                <w:szCs w:val="20"/>
              </w:rPr>
            </w:pPr>
          </w:p>
        </w:tc>
        <w:tc>
          <w:tcPr>
            <w:tcW w:w="7066" w:type="dxa"/>
          </w:tcPr>
          <w:p w:rsidR="00E30C31" w:rsidRPr="00D60C29" w:rsidRDefault="00E30C31" w:rsidP="00D60C29">
            <w:pPr>
              <w:pStyle w:val="ListParagraph"/>
              <w:numPr>
                <w:ilvl w:val="0"/>
                <w:numId w:val="45"/>
              </w:numPr>
              <w:rPr>
                <w:rFonts w:cstheme="minorHAnsi"/>
                <w:color w:val="17365D" w:themeColor="text2" w:themeShade="BF"/>
                <w:sz w:val="20"/>
                <w:szCs w:val="20"/>
              </w:rPr>
            </w:pPr>
            <w:r w:rsidRPr="00D60C29">
              <w:rPr>
                <w:rFonts w:cstheme="minorHAnsi"/>
                <w:color w:val="17365D" w:themeColor="text2" w:themeShade="BF"/>
                <w:sz w:val="20"/>
                <w:szCs w:val="20"/>
              </w:rPr>
              <w:t xml:space="preserve">Working with businesses and the rural sector. </w:t>
            </w:r>
          </w:p>
          <w:p w:rsidR="00E30C31" w:rsidRPr="00D60C29" w:rsidRDefault="00E30C31" w:rsidP="00D60C29">
            <w:pPr>
              <w:pStyle w:val="ListParagraph"/>
              <w:numPr>
                <w:ilvl w:val="0"/>
                <w:numId w:val="45"/>
              </w:numPr>
              <w:rPr>
                <w:rFonts w:cstheme="minorHAnsi"/>
                <w:color w:val="17365D" w:themeColor="text2" w:themeShade="BF"/>
                <w:sz w:val="20"/>
                <w:szCs w:val="20"/>
              </w:rPr>
            </w:pPr>
            <w:r w:rsidRPr="00D60C29">
              <w:rPr>
                <w:rFonts w:cstheme="minorHAnsi"/>
                <w:color w:val="17365D" w:themeColor="text2" w:themeShade="BF"/>
                <w:sz w:val="20"/>
                <w:szCs w:val="20"/>
              </w:rPr>
              <w:t>Community events (calendar of events) coordinated through events coordinator.</w:t>
            </w:r>
          </w:p>
          <w:p w:rsidR="00E30C31" w:rsidRPr="00D60C29" w:rsidRDefault="00E30C31" w:rsidP="00D60C29">
            <w:pPr>
              <w:pStyle w:val="ListParagraph"/>
              <w:numPr>
                <w:ilvl w:val="0"/>
                <w:numId w:val="45"/>
              </w:numPr>
              <w:rPr>
                <w:rFonts w:cstheme="minorHAnsi"/>
                <w:color w:val="17365D" w:themeColor="text2" w:themeShade="BF"/>
                <w:sz w:val="20"/>
                <w:szCs w:val="20"/>
              </w:rPr>
            </w:pPr>
            <w:r w:rsidRPr="00D60C29">
              <w:rPr>
                <w:rFonts w:cstheme="minorHAnsi"/>
                <w:color w:val="17365D" w:themeColor="text2" w:themeShade="BF"/>
                <w:sz w:val="20"/>
                <w:szCs w:val="20"/>
              </w:rPr>
              <w:t>Involvement and engagement across agencies, iwi and community through numerous forums.</w:t>
            </w:r>
          </w:p>
          <w:p w:rsidR="00E30C31" w:rsidRPr="00D60C29" w:rsidRDefault="00E30C31" w:rsidP="00D60C29">
            <w:pPr>
              <w:pStyle w:val="ListParagraph"/>
              <w:numPr>
                <w:ilvl w:val="0"/>
                <w:numId w:val="45"/>
              </w:numPr>
              <w:rPr>
                <w:rFonts w:cstheme="minorHAnsi"/>
                <w:color w:val="17365D" w:themeColor="text2" w:themeShade="BF"/>
                <w:sz w:val="20"/>
                <w:szCs w:val="20"/>
              </w:rPr>
            </w:pPr>
            <w:r w:rsidRPr="00D60C29">
              <w:rPr>
                <w:rFonts w:cstheme="minorHAnsi"/>
                <w:color w:val="17365D" w:themeColor="text2" w:themeShade="BF"/>
                <w:sz w:val="20"/>
                <w:szCs w:val="20"/>
              </w:rPr>
              <w:t xml:space="preserve">Community representation on stop bank repair planning group. </w:t>
            </w:r>
          </w:p>
          <w:p w:rsidR="00E30C31" w:rsidRPr="00BA38BC" w:rsidRDefault="00E30C31" w:rsidP="00D60C29">
            <w:pPr>
              <w:rPr>
                <w:rFonts w:cstheme="minorHAnsi"/>
                <w:color w:val="17365D" w:themeColor="text2" w:themeShade="BF"/>
                <w:sz w:val="20"/>
                <w:szCs w:val="20"/>
              </w:rPr>
            </w:pPr>
          </w:p>
          <w:p w:rsidR="00E30C31" w:rsidRPr="00F412D8" w:rsidRDefault="00E30C31" w:rsidP="00D60C29">
            <w:pPr>
              <w:rPr>
                <w:rFonts w:cstheme="minorHAnsi"/>
                <w:b/>
                <w:color w:val="17365D" w:themeColor="text2" w:themeShade="BF"/>
                <w:sz w:val="20"/>
                <w:szCs w:val="20"/>
              </w:rPr>
            </w:pPr>
          </w:p>
        </w:tc>
      </w:tr>
      <w:tr w:rsidR="00E30C31" w:rsidRPr="00F412D8" w:rsidTr="00D60C29">
        <w:tc>
          <w:tcPr>
            <w:tcW w:w="2177" w:type="dxa"/>
            <w:shd w:val="clear" w:color="auto" w:fill="1F497D" w:themeFill="text2"/>
          </w:tcPr>
          <w:p w:rsidR="00E30C31" w:rsidRPr="00D60C29" w:rsidRDefault="008D25FA" w:rsidP="004749D1">
            <w:pPr>
              <w:rPr>
                <w:rFonts w:cstheme="minorHAnsi"/>
                <w:b/>
                <w:color w:val="FFFFFF" w:themeColor="background1"/>
                <w:sz w:val="20"/>
                <w:szCs w:val="20"/>
              </w:rPr>
            </w:pPr>
            <w:r>
              <w:rPr>
                <w:rFonts w:cstheme="minorHAnsi"/>
                <w:b/>
                <w:color w:val="FFFFFF" w:themeColor="background1"/>
                <w:sz w:val="20"/>
                <w:szCs w:val="20"/>
              </w:rPr>
              <w:t>Mahi Tahi</w:t>
            </w:r>
            <w:r w:rsidR="00E30C31" w:rsidRPr="00D60C29">
              <w:rPr>
                <w:rFonts w:cstheme="minorHAnsi"/>
                <w:b/>
                <w:color w:val="FFFFFF" w:themeColor="background1"/>
                <w:sz w:val="20"/>
                <w:szCs w:val="20"/>
              </w:rPr>
              <w:t>/Collaborate</w:t>
            </w:r>
          </w:p>
          <w:p w:rsidR="00E30C31" w:rsidRPr="00D60C29" w:rsidRDefault="00E30C31" w:rsidP="004749D1">
            <w:pPr>
              <w:rPr>
                <w:rFonts w:cstheme="minorHAnsi"/>
                <w:b/>
                <w:color w:val="FFFFFF" w:themeColor="background1"/>
                <w:sz w:val="20"/>
                <w:szCs w:val="20"/>
              </w:rPr>
            </w:pPr>
          </w:p>
          <w:p w:rsidR="00E30C31" w:rsidRPr="00D60C29" w:rsidRDefault="00E30C31" w:rsidP="004749D1">
            <w:pPr>
              <w:rPr>
                <w:rFonts w:cstheme="minorHAnsi"/>
                <w:b/>
                <w:i/>
                <w:color w:val="FFFFFF" w:themeColor="background1"/>
                <w:sz w:val="20"/>
                <w:szCs w:val="20"/>
              </w:rPr>
            </w:pPr>
            <w:r w:rsidRPr="00D60C29">
              <w:rPr>
                <w:rFonts w:cstheme="minorHAnsi"/>
                <w:b/>
                <w:i/>
                <w:color w:val="FFFFFF" w:themeColor="background1"/>
                <w:sz w:val="20"/>
                <w:szCs w:val="20"/>
              </w:rPr>
              <w:t>Partnering in every aspect of the decision-making including the development or ideas and options</w:t>
            </w:r>
          </w:p>
          <w:p w:rsidR="00E30C31" w:rsidRPr="00D60C29" w:rsidRDefault="00E30C31" w:rsidP="004749D1">
            <w:pPr>
              <w:rPr>
                <w:rFonts w:cstheme="minorHAnsi"/>
                <w:b/>
                <w:color w:val="FFFFFF" w:themeColor="background1"/>
                <w:sz w:val="20"/>
                <w:szCs w:val="20"/>
              </w:rPr>
            </w:pPr>
          </w:p>
        </w:tc>
        <w:tc>
          <w:tcPr>
            <w:tcW w:w="7066" w:type="dxa"/>
          </w:tcPr>
          <w:p w:rsidR="00E30C31" w:rsidRPr="00D60C29" w:rsidRDefault="00E30C31" w:rsidP="00D60C29">
            <w:pPr>
              <w:pStyle w:val="ListParagraph"/>
              <w:numPr>
                <w:ilvl w:val="0"/>
                <w:numId w:val="46"/>
              </w:numPr>
              <w:spacing w:after="160" w:line="259" w:lineRule="auto"/>
              <w:rPr>
                <w:color w:val="17365D" w:themeColor="text2" w:themeShade="BF"/>
                <w:sz w:val="20"/>
                <w:szCs w:val="20"/>
              </w:rPr>
            </w:pPr>
            <w:r w:rsidRPr="00D60C29">
              <w:rPr>
                <w:color w:val="17365D" w:themeColor="text2" w:themeShade="BF"/>
                <w:sz w:val="20"/>
                <w:szCs w:val="20"/>
              </w:rPr>
              <w:t>Working in partnership with</w:t>
            </w:r>
            <w:r w:rsidR="009457EB" w:rsidRPr="00D60C29">
              <w:rPr>
                <w:color w:val="17365D" w:themeColor="text2" w:themeShade="BF"/>
                <w:sz w:val="20"/>
                <w:szCs w:val="20"/>
              </w:rPr>
              <w:t xml:space="preserve"> the BOPRC and the community.</w:t>
            </w:r>
          </w:p>
          <w:p w:rsidR="00D13D33" w:rsidRPr="00D60C29" w:rsidRDefault="00D13D33" w:rsidP="00D60C29">
            <w:pPr>
              <w:pStyle w:val="ListParagraph"/>
              <w:numPr>
                <w:ilvl w:val="0"/>
                <w:numId w:val="46"/>
              </w:numPr>
              <w:rPr>
                <w:rFonts w:cstheme="minorHAnsi"/>
                <w:color w:val="17365D" w:themeColor="text2" w:themeShade="BF"/>
                <w:sz w:val="20"/>
                <w:szCs w:val="20"/>
              </w:rPr>
            </w:pPr>
            <w:r w:rsidRPr="00D60C29">
              <w:rPr>
                <w:rFonts w:cstheme="minorHAnsi"/>
                <w:color w:val="17365D" w:themeColor="text2" w:themeShade="BF"/>
                <w:sz w:val="20"/>
                <w:szCs w:val="20"/>
              </w:rPr>
              <w:t>Partners meetings with government and non-government agencies in relation to welfare.</w:t>
            </w:r>
          </w:p>
          <w:p w:rsidR="00D13D33" w:rsidRPr="00D60C29" w:rsidRDefault="00D13D33" w:rsidP="00D60C29">
            <w:pPr>
              <w:pStyle w:val="ListParagraph"/>
              <w:numPr>
                <w:ilvl w:val="0"/>
                <w:numId w:val="46"/>
              </w:numPr>
              <w:rPr>
                <w:rFonts w:cstheme="minorHAnsi"/>
                <w:color w:val="17365D" w:themeColor="text2" w:themeShade="BF"/>
                <w:sz w:val="20"/>
                <w:szCs w:val="20"/>
              </w:rPr>
            </w:pPr>
            <w:r w:rsidRPr="00D60C29">
              <w:rPr>
                <w:rFonts w:cstheme="minorHAnsi"/>
                <w:color w:val="17365D" w:themeColor="text2" w:themeShade="BF"/>
                <w:sz w:val="20"/>
                <w:szCs w:val="20"/>
              </w:rPr>
              <w:t>Working in partnership with MBIE to provide temporary accommodation.</w:t>
            </w:r>
          </w:p>
          <w:p w:rsidR="00E30C31" w:rsidRPr="00D60C29" w:rsidRDefault="00E30C31" w:rsidP="00D60C29">
            <w:pPr>
              <w:pStyle w:val="ListParagraph"/>
              <w:numPr>
                <w:ilvl w:val="0"/>
                <w:numId w:val="46"/>
              </w:numPr>
              <w:rPr>
                <w:rFonts w:cstheme="minorHAnsi"/>
                <w:color w:val="17365D" w:themeColor="text2" w:themeShade="BF"/>
                <w:sz w:val="20"/>
                <w:szCs w:val="20"/>
              </w:rPr>
            </w:pPr>
            <w:r w:rsidRPr="00D60C29">
              <w:rPr>
                <w:color w:val="17365D" w:themeColor="text2" w:themeShade="BF"/>
                <w:sz w:val="20"/>
                <w:szCs w:val="20"/>
              </w:rPr>
              <w:t xml:space="preserve">Acknowledging Iwi have plans in relation to recovery and supporting projects if, and when, appropriate. </w:t>
            </w:r>
          </w:p>
          <w:p w:rsidR="00E30C31" w:rsidRPr="00D60C29" w:rsidRDefault="00E30C31" w:rsidP="00D60C29">
            <w:pPr>
              <w:pStyle w:val="ListParagraph"/>
              <w:numPr>
                <w:ilvl w:val="0"/>
                <w:numId w:val="46"/>
              </w:numPr>
              <w:rPr>
                <w:rFonts w:cstheme="minorHAnsi"/>
                <w:color w:val="17365D" w:themeColor="text2" w:themeShade="BF"/>
                <w:sz w:val="20"/>
                <w:szCs w:val="20"/>
              </w:rPr>
            </w:pPr>
            <w:r w:rsidRPr="00D60C29">
              <w:rPr>
                <w:rFonts w:cstheme="minorHAnsi"/>
                <w:color w:val="17365D" w:themeColor="text2" w:themeShade="BF"/>
                <w:sz w:val="20"/>
                <w:szCs w:val="20"/>
              </w:rPr>
              <w:t>Facilitate community recovery projects e.g. Liveable Homes.</w:t>
            </w:r>
          </w:p>
          <w:p w:rsidR="00D13D33" w:rsidRPr="00D13D33" w:rsidRDefault="00D13D33" w:rsidP="00D60C29">
            <w:pPr>
              <w:pStyle w:val="ListParagraph"/>
              <w:rPr>
                <w:rFonts w:cstheme="minorHAnsi"/>
                <w:color w:val="17365D" w:themeColor="text2" w:themeShade="BF"/>
                <w:sz w:val="20"/>
                <w:szCs w:val="20"/>
              </w:rPr>
            </w:pPr>
          </w:p>
          <w:p w:rsidR="00E30C31" w:rsidRPr="00BA38BC" w:rsidRDefault="00E30C31" w:rsidP="00D60C29">
            <w:pPr>
              <w:pStyle w:val="ListParagraph"/>
              <w:rPr>
                <w:rFonts w:cstheme="minorHAnsi"/>
                <w:color w:val="17365D" w:themeColor="text2" w:themeShade="BF"/>
                <w:sz w:val="20"/>
                <w:szCs w:val="20"/>
              </w:rPr>
            </w:pPr>
          </w:p>
          <w:p w:rsidR="00E30C31" w:rsidRPr="006565F2" w:rsidRDefault="00E30C31" w:rsidP="00D60C29">
            <w:pPr>
              <w:pStyle w:val="ListParagraph"/>
              <w:spacing w:after="160" w:line="259" w:lineRule="auto"/>
              <w:rPr>
                <w:color w:val="17365D" w:themeColor="text2" w:themeShade="BF"/>
                <w:sz w:val="20"/>
                <w:szCs w:val="20"/>
              </w:rPr>
            </w:pPr>
          </w:p>
        </w:tc>
      </w:tr>
      <w:tr w:rsidR="00E30C31" w:rsidRPr="00F412D8" w:rsidTr="00D60C29">
        <w:tc>
          <w:tcPr>
            <w:tcW w:w="2177" w:type="dxa"/>
            <w:shd w:val="clear" w:color="auto" w:fill="1F497D" w:themeFill="text2"/>
          </w:tcPr>
          <w:p w:rsidR="00E30C31" w:rsidRPr="00D60C29" w:rsidRDefault="00E30C31" w:rsidP="004749D1">
            <w:pPr>
              <w:rPr>
                <w:rFonts w:cstheme="minorHAnsi"/>
                <w:b/>
                <w:color w:val="FFFFFF" w:themeColor="background1"/>
                <w:sz w:val="20"/>
                <w:szCs w:val="20"/>
              </w:rPr>
            </w:pPr>
            <w:r w:rsidRPr="00D60C29">
              <w:rPr>
                <w:rFonts w:cstheme="minorHAnsi"/>
                <w:b/>
                <w:color w:val="FFFFFF" w:themeColor="background1"/>
                <w:sz w:val="20"/>
                <w:szCs w:val="20"/>
              </w:rPr>
              <w:t xml:space="preserve">Whakamana/Empower  </w:t>
            </w:r>
          </w:p>
          <w:p w:rsidR="00E30C31" w:rsidRPr="00D60C29" w:rsidRDefault="00E30C31" w:rsidP="004749D1">
            <w:pPr>
              <w:rPr>
                <w:rFonts w:cstheme="minorHAnsi"/>
                <w:b/>
                <w:color w:val="FFFFFF" w:themeColor="background1"/>
                <w:sz w:val="20"/>
                <w:szCs w:val="20"/>
              </w:rPr>
            </w:pPr>
          </w:p>
          <w:p w:rsidR="00E30C31" w:rsidRPr="00D60C29" w:rsidRDefault="00E30C31" w:rsidP="004749D1">
            <w:pPr>
              <w:rPr>
                <w:rFonts w:cstheme="minorHAnsi"/>
                <w:b/>
                <w:i/>
                <w:color w:val="FFFFFF" w:themeColor="background1"/>
                <w:sz w:val="20"/>
                <w:szCs w:val="20"/>
              </w:rPr>
            </w:pPr>
          </w:p>
          <w:p w:rsidR="00E30C31" w:rsidRPr="00D60C29" w:rsidRDefault="00E30C31" w:rsidP="004749D1">
            <w:pPr>
              <w:rPr>
                <w:rFonts w:cstheme="minorHAnsi"/>
                <w:i/>
                <w:color w:val="FFFFFF" w:themeColor="background1"/>
                <w:sz w:val="20"/>
                <w:szCs w:val="20"/>
              </w:rPr>
            </w:pPr>
            <w:r w:rsidRPr="00D60C29">
              <w:rPr>
                <w:rFonts w:cstheme="minorHAnsi"/>
                <w:b/>
                <w:i/>
                <w:color w:val="FFFFFF" w:themeColor="background1"/>
                <w:sz w:val="20"/>
                <w:szCs w:val="20"/>
              </w:rPr>
              <w:t xml:space="preserve">Putting the decision-making in the hands of the </w:t>
            </w:r>
            <w:r w:rsidR="009457EB" w:rsidRPr="00D60C29">
              <w:rPr>
                <w:rFonts w:cstheme="minorHAnsi"/>
                <w:b/>
                <w:i/>
                <w:color w:val="FFFFFF" w:themeColor="background1"/>
                <w:sz w:val="20"/>
                <w:szCs w:val="20"/>
              </w:rPr>
              <w:t>community</w:t>
            </w:r>
            <w:r w:rsidRPr="00D60C29">
              <w:rPr>
                <w:rFonts w:cstheme="minorHAnsi"/>
                <w:b/>
                <w:i/>
                <w:color w:val="FFFFFF" w:themeColor="background1"/>
                <w:sz w:val="20"/>
                <w:szCs w:val="20"/>
              </w:rPr>
              <w:t xml:space="preserve"> and implementing what they decide</w:t>
            </w:r>
          </w:p>
          <w:p w:rsidR="00E30C31" w:rsidRPr="00D60C29" w:rsidRDefault="00E30C31" w:rsidP="004749D1">
            <w:pPr>
              <w:rPr>
                <w:rFonts w:cstheme="minorHAnsi"/>
                <w:b/>
                <w:color w:val="FFFFFF" w:themeColor="background1"/>
                <w:sz w:val="20"/>
                <w:szCs w:val="20"/>
              </w:rPr>
            </w:pPr>
          </w:p>
        </w:tc>
        <w:tc>
          <w:tcPr>
            <w:tcW w:w="7066" w:type="dxa"/>
          </w:tcPr>
          <w:p w:rsidR="00E30C31" w:rsidRPr="00D60C29" w:rsidRDefault="00E30C31" w:rsidP="00D60C29">
            <w:pPr>
              <w:pStyle w:val="ListParagraph"/>
              <w:numPr>
                <w:ilvl w:val="0"/>
                <w:numId w:val="47"/>
              </w:numPr>
              <w:spacing w:after="160" w:line="259" w:lineRule="auto"/>
              <w:rPr>
                <w:color w:val="17365D" w:themeColor="text2" w:themeShade="BF"/>
                <w:sz w:val="20"/>
                <w:szCs w:val="20"/>
              </w:rPr>
            </w:pPr>
            <w:r w:rsidRPr="00D60C29">
              <w:rPr>
                <w:color w:val="17365D" w:themeColor="text2" w:themeShade="BF"/>
                <w:sz w:val="20"/>
                <w:szCs w:val="20"/>
              </w:rPr>
              <w:t xml:space="preserve">Organising and supporting a community planning workshop for Edgecumbe residents to initiate the beginnings of </w:t>
            </w:r>
            <w:r w:rsidR="009457EB" w:rsidRPr="00D60C29">
              <w:rPr>
                <w:color w:val="17365D" w:themeColor="text2" w:themeShade="BF"/>
                <w:sz w:val="20"/>
                <w:szCs w:val="20"/>
              </w:rPr>
              <w:t xml:space="preserve">a </w:t>
            </w:r>
            <w:r w:rsidRPr="00D60C29">
              <w:rPr>
                <w:color w:val="17365D" w:themeColor="text2" w:themeShade="BF"/>
                <w:sz w:val="20"/>
                <w:szCs w:val="20"/>
              </w:rPr>
              <w:t xml:space="preserve">community </w:t>
            </w:r>
            <w:r w:rsidR="009457EB" w:rsidRPr="00D60C29">
              <w:rPr>
                <w:color w:val="17365D" w:themeColor="text2" w:themeShade="BF"/>
                <w:sz w:val="20"/>
                <w:szCs w:val="20"/>
              </w:rPr>
              <w:t>led recovery plan</w:t>
            </w:r>
            <w:r w:rsidRPr="00D60C29">
              <w:rPr>
                <w:color w:val="17365D" w:themeColor="text2" w:themeShade="BF"/>
                <w:sz w:val="20"/>
                <w:szCs w:val="20"/>
              </w:rPr>
              <w:t xml:space="preserve">.  The goal of the community plan is to get </w:t>
            </w:r>
            <w:r w:rsidR="009457EB" w:rsidRPr="00D60C29">
              <w:rPr>
                <w:color w:val="17365D" w:themeColor="text2" w:themeShade="BF"/>
                <w:sz w:val="20"/>
                <w:szCs w:val="20"/>
              </w:rPr>
              <w:t>residents</w:t>
            </w:r>
            <w:r w:rsidRPr="00D60C29">
              <w:rPr>
                <w:color w:val="17365D" w:themeColor="text2" w:themeShade="BF"/>
                <w:sz w:val="20"/>
                <w:szCs w:val="20"/>
              </w:rPr>
              <w:t xml:space="preserve"> involved in the process, while the challenge is to focus attention on long-term planning for the community when many individual’s long-term circumstances may be unclear. </w:t>
            </w:r>
          </w:p>
          <w:p w:rsidR="00E30C31" w:rsidRPr="00D60C29" w:rsidRDefault="00E30C31" w:rsidP="00D60C29">
            <w:pPr>
              <w:pStyle w:val="ListParagraph"/>
              <w:numPr>
                <w:ilvl w:val="0"/>
                <w:numId w:val="47"/>
              </w:numPr>
              <w:spacing w:after="160" w:line="259" w:lineRule="auto"/>
              <w:rPr>
                <w:color w:val="17365D" w:themeColor="text2" w:themeShade="BF"/>
                <w:sz w:val="20"/>
                <w:szCs w:val="20"/>
              </w:rPr>
            </w:pPr>
            <w:r w:rsidRPr="00D60C29">
              <w:rPr>
                <w:color w:val="17365D" w:themeColor="text2" w:themeShade="BF"/>
                <w:sz w:val="20"/>
                <w:szCs w:val="20"/>
              </w:rPr>
              <w:t>Support community initiatives for recovery e.g. suppor</w:t>
            </w:r>
            <w:r w:rsidR="004749D1" w:rsidRPr="00D60C29">
              <w:rPr>
                <w:color w:val="17365D" w:themeColor="text2" w:themeShade="BF"/>
                <w:sz w:val="20"/>
                <w:szCs w:val="20"/>
              </w:rPr>
              <w:t>ting temporary housing at Kōkōhinau</w:t>
            </w:r>
            <w:r w:rsidRPr="00D60C29">
              <w:rPr>
                <w:color w:val="17365D" w:themeColor="text2" w:themeShade="BF"/>
                <w:sz w:val="20"/>
                <w:szCs w:val="20"/>
              </w:rPr>
              <w:t xml:space="preserve"> marae</w:t>
            </w:r>
            <w:r w:rsidR="004749D1" w:rsidRPr="00D60C29">
              <w:rPr>
                <w:color w:val="17365D" w:themeColor="text2" w:themeShade="BF"/>
                <w:sz w:val="20"/>
                <w:szCs w:val="20"/>
              </w:rPr>
              <w:t>.</w:t>
            </w:r>
          </w:p>
          <w:p w:rsidR="004749D1" w:rsidRPr="00D60C29" w:rsidRDefault="004749D1" w:rsidP="00D60C29">
            <w:pPr>
              <w:pStyle w:val="ListParagraph"/>
              <w:numPr>
                <w:ilvl w:val="0"/>
                <w:numId w:val="47"/>
              </w:numPr>
              <w:spacing w:after="160" w:line="259" w:lineRule="auto"/>
              <w:rPr>
                <w:color w:val="17365D" w:themeColor="text2" w:themeShade="BF"/>
                <w:sz w:val="20"/>
                <w:szCs w:val="20"/>
              </w:rPr>
            </w:pPr>
            <w:r w:rsidRPr="00D60C29">
              <w:rPr>
                <w:color w:val="17365D" w:themeColor="text2" w:themeShade="BF"/>
                <w:sz w:val="20"/>
                <w:szCs w:val="20"/>
              </w:rPr>
              <w:t>Joint project between Te Uru Taumatua, WDC, NZTA and Wairoa District Council to develop SH 38.</w:t>
            </w:r>
          </w:p>
          <w:p w:rsidR="00D13D33" w:rsidRPr="00D60C29" w:rsidRDefault="00D13D33" w:rsidP="00D60C29">
            <w:pPr>
              <w:pStyle w:val="ListParagraph"/>
              <w:numPr>
                <w:ilvl w:val="0"/>
                <w:numId w:val="47"/>
              </w:numPr>
              <w:spacing w:after="160" w:line="259" w:lineRule="auto"/>
              <w:rPr>
                <w:color w:val="17365D" w:themeColor="text2" w:themeShade="BF"/>
                <w:sz w:val="20"/>
                <w:szCs w:val="20"/>
              </w:rPr>
            </w:pPr>
            <w:r w:rsidRPr="00D60C29">
              <w:rPr>
                <w:color w:val="17365D" w:themeColor="text2" w:themeShade="BF"/>
                <w:sz w:val="20"/>
                <w:szCs w:val="20"/>
              </w:rPr>
              <w:t>Community Law training and support.</w:t>
            </w:r>
          </w:p>
          <w:p w:rsidR="00D13D33" w:rsidRPr="00D60C29" w:rsidRDefault="00D13D33" w:rsidP="00D60C29">
            <w:pPr>
              <w:pStyle w:val="ListParagraph"/>
              <w:numPr>
                <w:ilvl w:val="0"/>
                <w:numId w:val="47"/>
              </w:numPr>
              <w:spacing w:after="160" w:line="259" w:lineRule="auto"/>
              <w:rPr>
                <w:color w:val="17365D" w:themeColor="text2" w:themeShade="BF"/>
                <w:sz w:val="20"/>
                <w:szCs w:val="20"/>
              </w:rPr>
            </w:pPr>
            <w:r w:rsidRPr="00D60C29">
              <w:rPr>
                <w:color w:val="17365D" w:themeColor="text2" w:themeShade="BF"/>
                <w:sz w:val="20"/>
                <w:szCs w:val="20"/>
              </w:rPr>
              <w:t>Navigator service and RST facilitators.</w:t>
            </w:r>
          </w:p>
        </w:tc>
      </w:tr>
    </w:tbl>
    <w:p w:rsidR="00E30C31" w:rsidRDefault="00E30C31" w:rsidP="00E30C31">
      <w:pPr>
        <w:rPr>
          <w:rFonts w:cstheme="minorHAnsi"/>
          <w:b/>
        </w:rPr>
      </w:pPr>
    </w:p>
    <w:p w:rsidR="00E30C31" w:rsidRPr="00D60C29" w:rsidRDefault="00317CD0" w:rsidP="000F64ED">
      <w:pPr>
        <w:pStyle w:val="Heading2"/>
        <w:rPr>
          <w:color w:val="1F497D" w:themeColor="text2"/>
        </w:rPr>
      </w:pPr>
      <w:r w:rsidRPr="00D60C29">
        <w:rPr>
          <w:color w:val="1F497D" w:themeColor="text2"/>
        </w:rPr>
        <w:t>First c</w:t>
      </w:r>
      <w:r w:rsidR="00E30C31" w:rsidRPr="00D60C29">
        <w:rPr>
          <w:color w:val="1F497D" w:themeColor="text2"/>
        </w:rPr>
        <w:t>hallenges for communication and engagement</w:t>
      </w:r>
    </w:p>
    <w:p w:rsidR="00E30C31" w:rsidRPr="00810624" w:rsidRDefault="00E30C31" w:rsidP="00E30C31">
      <w:pPr>
        <w:rPr>
          <w:rFonts w:cstheme="minorHAnsi"/>
        </w:rPr>
      </w:pPr>
      <w:r>
        <w:rPr>
          <w:rFonts w:cstheme="minorHAnsi"/>
        </w:rPr>
        <w:t>At the beginning of Recovery, t</w:t>
      </w:r>
      <w:r w:rsidRPr="00810624">
        <w:rPr>
          <w:rFonts w:cstheme="minorHAnsi"/>
        </w:rPr>
        <w:t xml:space="preserve">he immediate challenges facing the recovery team around communication and engagement (particularly with regard to </w:t>
      </w:r>
      <w:r>
        <w:rPr>
          <w:rFonts w:cstheme="minorHAnsi"/>
        </w:rPr>
        <w:t>the</w:t>
      </w:r>
      <w:r w:rsidRPr="00810624">
        <w:rPr>
          <w:rFonts w:cstheme="minorHAnsi"/>
        </w:rPr>
        <w:t xml:space="preserve"> mid-long term focus) </w:t>
      </w:r>
      <w:r>
        <w:rPr>
          <w:rFonts w:cstheme="minorHAnsi"/>
        </w:rPr>
        <w:t>were</w:t>
      </w:r>
      <w:r w:rsidRPr="00810624">
        <w:rPr>
          <w:rFonts w:cstheme="minorHAnsi"/>
        </w:rPr>
        <w:t>:</w:t>
      </w:r>
    </w:p>
    <w:p w:rsidR="00E30C31" w:rsidRPr="00810624" w:rsidRDefault="00E30C31" w:rsidP="00B14389">
      <w:pPr>
        <w:pStyle w:val="ListParagraph"/>
        <w:numPr>
          <w:ilvl w:val="0"/>
          <w:numId w:val="5"/>
        </w:numPr>
        <w:spacing w:after="160" w:line="259" w:lineRule="auto"/>
        <w:rPr>
          <w:rFonts w:cstheme="minorHAnsi"/>
        </w:rPr>
      </w:pPr>
      <w:r w:rsidRPr="00810624">
        <w:rPr>
          <w:rFonts w:cstheme="minorHAnsi"/>
        </w:rPr>
        <w:t xml:space="preserve">many (unknown number) residents/affected persons have left the area or are billeted with no forwarding contact details </w:t>
      </w:r>
    </w:p>
    <w:p w:rsidR="00E30C31" w:rsidRPr="00810624" w:rsidRDefault="00E30C31" w:rsidP="00B14389">
      <w:pPr>
        <w:pStyle w:val="ListParagraph"/>
        <w:numPr>
          <w:ilvl w:val="0"/>
          <w:numId w:val="5"/>
        </w:numPr>
        <w:spacing w:after="160" w:line="259" w:lineRule="auto"/>
        <w:rPr>
          <w:rFonts w:cstheme="minorHAnsi"/>
        </w:rPr>
      </w:pPr>
      <w:r w:rsidRPr="00810624">
        <w:rPr>
          <w:rFonts w:cstheme="minorHAnsi"/>
        </w:rPr>
        <w:t>infrastructure damage affecting roads, property, land and power supplies</w:t>
      </w:r>
    </w:p>
    <w:p w:rsidR="00E30C31" w:rsidRPr="00810624" w:rsidRDefault="00E30C31" w:rsidP="00B14389">
      <w:pPr>
        <w:pStyle w:val="ListParagraph"/>
        <w:numPr>
          <w:ilvl w:val="0"/>
          <w:numId w:val="5"/>
        </w:numPr>
        <w:spacing w:after="160" w:line="259" w:lineRule="auto"/>
        <w:rPr>
          <w:rFonts w:cstheme="minorHAnsi"/>
        </w:rPr>
      </w:pPr>
      <w:r w:rsidRPr="00810624">
        <w:rPr>
          <w:rFonts w:cstheme="minorHAnsi"/>
        </w:rPr>
        <w:t>the affected communities are widespread and with very different (and often competing) needs</w:t>
      </w:r>
    </w:p>
    <w:p w:rsidR="00E30C31" w:rsidRPr="00810624" w:rsidRDefault="00E30C31" w:rsidP="00B14389">
      <w:pPr>
        <w:pStyle w:val="ListParagraph"/>
        <w:numPr>
          <w:ilvl w:val="0"/>
          <w:numId w:val="5"/>
        </w:numPr>
        <w:spacing w:after="160" w:line="259" w:lineRule="auto"/>
        <w:rPr>
          <w:rFonts w:cstheme="minorHAnsi"/>
        </w:rPr>
      </w:pPr>
      <w:r w:rsidRPr="00810624">
        <w:rPr>
          <w:rFonts w:cstheme="minorHAnsi"/>
        </w:rPr>
        <w:t>records of dwelling occupancy/ownership are conflicting/</w:t>
      </w:r>
      <w:r>
        <w:rPr>
          <w:rFonts w:cstheme="minorHAnsi"/>
        </w:rPr>
        <w:t>complicated</w:t>
      </w:r>
    </w:p>
    <w:p w:rsidR="00E30C31" w:rsidRPr="00810624" w:rsidRDefault="00E30C31" w:rsidP="00B14389">
      <w:pPr>
        <w:pStyle w:val="ListParagraph"/>
        <w:numPr>
          <w:ilvl w:val="0"/>
          <w:numId w:val="5"/>
        </w:numPr>
        <w:spacing w:after="160" w:line="259" w:lineRule="auto"/>
        <w:rPr>
          <w:rFonts w:cstheme="minorHAnsi"/>
        </w:rPr>
      </w:pPr>
      <w:r w:rsidRPr="00810624">
        <w:rPr>
          <w:rFonts w:cstheme="minorHAnsi"/>
        </w:rPr>
        <w:t xml:space="preserve">no credible, consistent mode of media/communication covering the entire affected area </w:t>
      </w:r>
    </w:p>
    <w:p w:rsidR="00E30C31" w:rsidRDefault="00E30C31" w:rsidP="00B14389">
      <w:pPr>
        <w:pStyle w:val="ListParagraph"/>
        <w:numPr>
          <w:ilvl w:val="0"/>
          <w:numId w:val="5"/>
        </w:numPr>
        <w:spacing w:after="160" w:line="259" w:lineRule="auto"/>
        <w:rPr>
          <w:rFonts w:cstheme="minorHAnsi"/>
        </w:rPr>
      </w:pPr>
      <w:r w:rsidRPr="00810624">
        <w:rPr>
          <w:rFonts w:cstheme="minorHAnsi"/>
        </w:rPr>
        <w:t>on</w:t>
      </w:r>
      <w:r>
        <w:rPr>
          <w:rFonts w:cstheme="minorHAnsi"/>
        </w:rPr>
        <w:t>-</w:t>
      </w:r>
      <w:r w:rsidRPr="00810624">
        <w:rPr>
          <w:rFonts w:cstheme="minorHAnsi"/>
        </w:rPr>
        <w:t>going weather events that are contributing to uncertainty.</w:t>
      </w:r>
    </w:p>
    <w:p w:rsidR="000715A6" w:rsidRDefault="000715A6" w:rsidP="000715A6">
      <w:pPr>
        <w:spacing w:after="160" w:line="259" w:lineRule="auto"/>
        <w:rPr>
          <w:rFonts w:cstheme="minorHAnsi"/>
        </w:rPr>
      </w:pPr>
    </w:p>
    <w:p w:rsidR="000F64ED" w:rsidRPr="00D60C29" w:rsidRDefault="00732661" w:rsidP="000F64ED">
      <w:pPr>
        <w:pStyle w:val="Heading2"/>
        <w:rPr>
          <w:color w:val="1F497D" w:themeColor="text2"/>
        </w:rPr>
      </w:pPr>
      <w:r w:rsidRPr="00D60C29">
        <w:rPr>
          <w:color w:val="1F497D" w:themeColor="text2"/>
        </w:rPr>
        <w:lastRenderedPageBreak/>
        <w:t>Current challenges - involving</w:t>
      </w:r>
      <w:r w:rsidR="000F64ED" w:rsidRPr="00D60C29">
        <w:rPr>
          <w:color w:val="1F497D" w:themeColor="text2"/>
        </w:rPr>
        <w:t xml:space="preserve"> and empowering the community</w:t>
      </w:r>
    </w:p>
    <w:p w:rsidR="00D26B7E" w:rsidRPr="00843C38" w:rsidRDefault="00843C38" w:rsidP="000F64ED">
      <w:pPr>
        <w:rPr>
          <w:rFonts w:cstheme="minorHAnsi"/>
        </w:rPr>
      </w:pPr>
      <w:r>
        <w:rPr>
          <w:rFonts w:cstheme="minorHAnsi"/>
        </w:rPr>
        <w:t>Four months on from the April floods, challenges for communication and engagement have changed.  The main challenge involves getting those affected focused on the future.  This is particularly challenging as many flood affected residents are still displaced.  Key ways of involving and empowering the affected community are outlined in the table below.</w:t>
      </w:r>
    </w:p>
    <w:p w:rsidR="003F7440" w:rsidRPr="000F64ED" w:rsidRDefault="00332EF5" w:rsidP="000F64ED">
      <w:pPr>
        <w:rPr>
          <w:rFonts w:cstheme="minorHAnsi"/>
          <w:i/>
        </w:rPr>
      </w:pPr>
      <w:r>
        <w:rPr>
          <w:rFonts w:cstheme="minorHAnsi"/>
          <w:i/>
        </w:rPr>
        <w:t xml:space="preserve"> </w:t>
      </w:r>
    </w:p>
    <w:tbl>
      <w:tblPr>
        <w:tblW w:w="91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24"/>
        <w:gridCol w:w="2145"/>
        <w:gridCol w:w="5151"/>
      </w:tblGrid>
      <w:tr w:rsidR="004719A7" w:rsidRPr="004719A7" w:rsidTr="00D60C29">
        <w:trPr>
          <w:trHeight w:val="707"/>
          <w:tblHeader/>
        </w:trPr>
        <w:tc>
          <w:tcPr>
            <w:tcW w:w="1824" w:type="dxa"/>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AC4248" w:rsidRPr="004719A7" w:rsidRDefault="00AC4248" w:rsidP="003F7440">
            <w:pPr>
              <w:jc w:val="center"/>
              <w:rPr>
                <w:b/>
                <w:bCs/>
                <w:color w:val="FFFFFF" w:themeColor="background1"/>
                <w:sz w:val="20"/>
                <w:szCs w:val="20"/>
              </w:rPr>
            </w:pPr>
            <w:r w:rsidRPr="004719A7">
              <w:rPr>
                <w:b/>
                <w:bCs/>
                <w:color w:val="FFFFFF" w:themeColor="background1"/>
                <w:sz w:val="20"/>
                <w:szCs w:val="20"/>
              </w:rPr>
              <w:t>Community Interest</w:t>
            </w:r>
          </w:p>
        </w:tc>
        <w:tc>
          <w:tcPr>
            <w:tcW w:w="2145" w:type="dxa"/>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AC4248" w:rsidRPr="004719A7" w:rsidRDefault="00A81ACC" w:rsidP="003F7440">
            <w:pPr>
              <w:jc w:val="center"/>
              <w:rPr>
                <w:b/>
                <w:bCs/>
                <w:color w:val="FFFFFF" w:themeColor="background1"/>
                <w:sz w:val="20"/>
                <w:szCs w:val="20"/>
              </w:rPr>
            </w:pPr>
            <w:r w:rsidRPr="004719A7">
              <w:rPr>
                <w:b/>
                <w:bCs/>
                <w:color w:val="FFFFFF" w:themeColor="background1"/>
                <w:sz w:val="20"/>
                <w:szCs w:val="20"/>
              </w:rPr>
              <w:t>IAP2 Engagement Spectrum</w:t>
            </w:r>
          </w:p>
        </w:tc>
        <w:tc>
          <w:tcPr>
            <w:tcW w:w="5151" w:type="dxa"/>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AC4248" w:rsidRPr="004719A7" w:rsidRDefault="00A81ACC" w:rsidP="00A81ACC">
            <w:pPr>
              <w:jc w:val="center"/>
              <w:rPr>
                <w:b/>
                <w:bCs/>
                <w:color w:val="FFFFFF" w:themeColor="background1"/>
                <w:sz w:val="20"/>
                <w:szCs w:val="20"/>
              </w:rPr>
            </w:pPr>
            <w:r w:rsidRPr="004719A7">
              <w:rPr>
                <w:b/>
                <w:bCs/>
                <w:color w:val="FFFFFF" w:themeColor="background1"/>
                <w:sz w:val="20"/>
                <w:szCs w:val="20"/>
              </w:rPr>
              <w:t>Description</w:t>
            </w:r>
          </w:p>
        </w:tc>
      </w:tr>
      <w:tr w:rsidR="00843C38" w:rsidRPr="004719A7" w:rsidTr="00D26B7E">
        <w:trPr>
          <w:trHeight w:val="720"/>
        </w:trPr>
        <w:tc>
          <w:tcPr>
            <w:tcW w:w="1824" w:type="dxa"/>
            <w:shd w:val="clear" w:color="auto" w:fill="FFFFFF"/>
          </w:tcPr>
          <w:p w:rsidR="00843C38" w:rsidRPr="00D60C29" w:rsidRDefault="00843C38" w:rsidP="0072569D">
            <w:pPr>
              <w:rPr>
                <w:b/>
                <w:bCs/>
                <w:color w:val="1F497D" w:themeColor="text2"/>
                <w:sz w:val="20"/>
                <w:szCs w:val="20"/>
              </w:rPr>
            </w:pPr>
            <w:r w:rsidRPr="00D60C29">
              <w:rPr>
                <w:b/>
                <w:bCs/>
                <w:color w:val="1F497D" w:themeColor="text2"/>
                <w:sz w:val="20"/>
                <w:szCs w:val="20"/>
              </w:rPr>
              <w:t>Businesses</w:t>
            </w:r>
          </w:p>
        </w:tc>
        <w:tc>
          <w:tcPr>
            <w:tcW w:w="2145" w:type="dxa"/>
            <w:shd w:val="clear" w:color="auto" w:fill="FFFFFF"/>
          </w:tcPr>
          <w:p w:rsidR="00843C38" w:rsidRPr="00D60C29" w:rsidRDefault="008D25FA" w:rsidP="0072569D">
            <w:pPr>
              <w:rPr>
                <w:rFonts w:cstheme="minorHAnsi"/>
                <w:color w:val="1F497D" w:themeColor="text2"/>
                <w:sz w:val="20"/>
                <w:szCs w:val="20"/>
              </w:rPr>
            </w:pPr>
            <w:r>
              <w:rPr>
                <w:rFonts w:cstheme="minorHAnsi"/>
                <w:color w:val="1F497D" w:themeColor="text2"/>
                <w:sz w:val="20"/>
                <w:szCs w:val="20"/>
              </w:rPr>
              <w:t>Wawata</w:t>
            </w:r>
            <w:r w:rsidR="00843C38" w:rsidRPr="00D60C29">
              <w:rPr>
                <w:rFonts w:cstheme="minorHAnsi"/>
                <w:color w:val="1F497D" w:themeColor="text2"/>
                <w:sz w:val="20"/>
                <w:szCs w:val="20"/>
              </w:rPr>
              <w:t xml:space="preserve">/Involve </w:t>
            </w:r>
          </w:p>
          <w:p w:rsidR="00843C38" w:rsidRPr="00D60C29" w:rsidRDefault="00843C38" w:rsidP="0072569D">
            <w:pPr>
              <w:rPr>
                <w:color w:val="1F497D" w:themeColor="text2"/>
                <w:sz w:val="20"/>
                <w:szCs w:val="20"/>
              </w:rPr>
            </w:pPr>
          </w:p>
        </w:tc>
        <w:tc>
          <w:tcPr>
            <w:tcW w:w="5151" w:type="dxa"/>
            <w:shd w:val="clear" w:color="auto" w:fill="FFFFFF"/>
          </w:tcPr>
          <w:p w:rsidR="00843C38" w:rsidRPr="00D60C29" w:rsidRDefault="00843C38" w:rsidP="00D74372">
            <w:pPr>
              <w:rPr>
                <w:color w:val="1F497D" w:themeColor="text2"/>
                <w:sz w:val="20"/>
                <w:szCs w:val="20"/>
              </w:rPr>
            </w:pPr>
            <w:r w:rsidRPr="00D60C29">
              <w:rPr>
                <w:color w:val="1F497D" w:themeColor="text2"/>
                <w:sz w:val="20"/>
                <w:szCs w:val="20"/>
              </w:rPr>
              <w:t xml:space="preserve">Supporting wellness and wellbeing of business owners and employees through the </w:t>
            </w:r>
            <w:r w:rsidR="00D74372" w:rsidRPr="00D60C29">
              <w:rPr>
                <w:color w:val="1F497D" w:themeColor="text2"/>
                <w:sz w:val="20"/>
                <w:szCs w:val="20"/>
              </w:rPr>
              <w:t>facilitation</w:t>
            </w:r>
            <w:r w:rsidRPr="00D60C29">
              <w:rPr>
                <w:color w:val="1F497D" w:themeColor="text2"/>
                <w:sz w:val="20"/>
                <w:szCs w:val="20"/>
              </w:rPr>
              <w:t xml:space="preserve"> of workshops and networking opportunities.</w:t>
            </w:r>
          </w:p>
        </w:tc>
      </w:tr>
      <w:tr w:rsidR="00843C38" w:rsidRPr="004719A7" w:rsidTr="00D26B7E">
        <w:trPr>
          <w:trHeight w:val="720"/>
        </w:trPr>
        <w:tc>
          <w:tcPr>
            <w:tcW w:w="1824" w:type="dxa"/>
            <w:shd w:val="clear" w:color="auto" w:fill="FFFFFF"/>
          </w:tcPr>
          <w:p w:rsidR="00843C38" w:rsidRPr="00D60C29" w:rsidRDefault="00843C38" w:rsidP="0072569D">
            <w:pPr>
              <w:rPr>
                <w:b/>
                <w:bCs/>
                <w:color w:val="1F497D" w:themeColor="text2"/>
                <w:sz w:val="20"/>
                <w:szCs w:val="20"/>
              </w:rPr>
            </w:pPr>
            <w:r w:rsidRPr="00D60C29">
              <w:rPr>
                <w:b/>
                <w:bCs/>
                <w:color w:val="1F497D" w:themeColor="text2"/>
                <w:sz w:val="20"/>
                <w:szCs w:val="20"/>
              </w:rPr>
              <w:t>Rural</w:t>
            </w:r>
          </w:p>
        </w:tc>
        <w:tc>
          <w:tcPr>
            <w:tcW w:w="2145" w:type="dxa"/>
            <w:shd w:val="clear" w:color="auto" w:fill="FFFFFF"/>
          </w:tcPr>
          <w:p w:rsidR="00843C38" w:rsidRPr="00D60C29" w:rsidRDefault="008D25FA" w:rsidP="0072569D">
            <w:pPr>
              <w:rPr>
                <w:rFonts w:cstheme="minorHAnsi"/>
                <w:color w:val="1F497D" w:themeColor="text2"/>
                <w:sz w:val="20"/>
                <w:szCs w:val="20"/>
              </w:rPr>
            </w:pPr>
            <w:r>
              <w:rPr>
                <w:rFonts w:cstheme="minorHAnsi"/>
                <w:color w:val="1F497D" w:themeColor="text2"/>
                <w:sz w:val="20"/>
                <w:szCs w:val="20"/>
              </w:rPr>
              <w:t>Wawata</w:t>
            </w:r>
            <w:r w:rsidR="00843C38" w:rsidRPr="00D60C29">
              <w:rPr>
                <w:rFonts w:cstheme="minorHAnsi"/>
                <w:color w:val="1F497D" w:themeColor="text2"/>
                <w:sz w:val="20"/>
                <w:szCs w:val="20"/>
              </w:rPr>
              <w:t xml:space="preserve">/Involve </w:t>
            </w:r>
          </w:p>
          <w:p w:rsidR="00843C38" w:rsidRPr="00D60C29" w:rsidRDefault="00843C38" w:rsidP="0072569D">
            <w:pPr>
              <w:rPr>
                <w:color w:val="1F497D" w:themeColor="text2"/>
                <w:sz w:val="20"/>
                <w:szCs w:val="20"/>
              </w:rPr>
            </w:pPr>
          </w:p>
        </w:tc>
        <w:tc>
          <w:tcPr>
            <w:tcW w:w="5151" w:type="dxa"/>
            <w:shd w:val="clear" w:color="auto" w:fill="FFFFFF"/>
          </w:tcPr>
          <w:p w:rsidR="00843C38" w:rsidRPr="00D60C29" w:rsidRDefault="00843C38" w:rsidP="00D74372">
            <w:pPr>
              <w:rPr>
                <w:color w:val="1F497D" w:themeColor="text2"/>
                <w:sz w:val="20"/>
                <w:szCs w:val="20"/>
              </w:rPr>
            </w:pPr>
            <w:r w:rsidRPr="00D60C29">
              <w:rPr>
                <w:color w:val="1F497D" w:themeColor="text2"/>
                <w:sz w:val="20"/>
                <w:szCs w:val="20"/>
              </w:rPr>
              <w:t xml:space="preserve">Supporting wellness, wellbeing and resilience in rural individuals and families and rural workers through the </w:t>
            </w:r>
            <w:r w:rsidR="00D74372" w:rsidRPr="00D60C29">
              <w:rPr>
                <w:color w:val="1F497D" w:themeColor="text2"/>
                <w:sz w:val="20"/>
                <w:szCs w:val="20"/>
              </w:rPr>
              <w:t>facilitation</w:t>
            </w:r>
            <w:r w:rsidRPr="00D60C29">
              <w:rPr>
                <w:color w:val="1F497D" w:themeColor="text2"/>
                <w:sz w:val="20"/>
                <w:szCs w:val="20"/>
              </w:rPr>
              <w:t xml:space="preserve"> of workshops, social events and training opportunities.</w:t>
            </w:r>
          </w:p>
        </w:tc>
      </w:tr>
      <w:tr w:rsidR="00843C38" w:rsidRPr="004719A7" w:rsidTr="00D26B7E">
        <w:trPr>
          <w:trHeight w:val="720"/>
        </w:trPr>
        <w:tc>
          <w:tcPr>
            <w:tcW w:w="1824" w:type="dxa"/>
            <w:shd w:val="clear" w:color="auto" w:fill="FFFFFF"/>
          </w:tcPr>
          <w:p w:rsidR="00843C38" w:rsidRPr="00D60C29" w:rsidRDefault="00843C38" w:rsidP="0072569D">
            <w:pPr>
              <w:rPr>
                <w:b/>
                <w:bCs/>
                <w:color w:val="1F497D" w:themeColor="text2"/>
                <w:sz w:val="20"/>
                <w:szCs w:val="20"/>
              </w:rPr>
            </w:pPr>
            <w:r w:rsidRPr="00D60C29">
              <w:rPr>
                <w:b/>
                <w:bCs/>
                <w:color w:val="1F497D" w:themeColor="text2"/>
                <w:sz w:val="20"/>
                <w:szCs w:val="20"/>
              </w:rPr>
              <w:t>Events Coordination</w:t>
            </w:r>
          </w:p>
          <w:p w:rsidR="00843C38" w:rsidRPr="00D60C29" w:rsidRDefault="00843C38" w:rsidP="0072569D">
            <w:pPr>
              <w:rPr>
                <w:b/>
                <w:bCs/>
                <w:color w:val="1F497D" w:themeColor="text2"/>
                <w:sz w:val="20"/>
                <w:szCs w:val="20"/>
              </w:rPr>
            </w:pPr>
            <w:r w:rsidRPr="00D60C29">
              <w:rPr>
                <w:b/>
                <w:bCs/>
                <w:color w:val="1F497D" w:themeColor="text2"/>
                <w:sz w:val="20"/>
                <w:szCs w:val="20"/>
              </w:rPr>
              <w:t>WRO</w:t>
            </w:r>
          </w:p>
        </w:tc>
        <w:tc>
          <w:tcPr>
            <w:tcW w:w="2145" w:type="dxa"/>
            <w:shd w:val="clear" w:color="auto" w:fill="FFFFFF"/>
          </w:tcPr>
          <w:p w:rsidR="00843C38" w:rsidRPr="00D60C29" w:rsidRDefault="008D25FA" w:rsidP="0072569D">
            <w:pPr>
              <w:rPr>
                <w:rFonts w:cstheme="minorHAnsi"/>
                <w:color w:val="1F497D" w:themeColor="text2"/>
                <w:sz w:val="20"/>
                <w:szCs w:val="20"/>
              </w:rPr>
            </w:pPr>
            <w:r>
              <w:rPr>
                <w:rFonts w:cstheme="minorHAnsi"/>
                <w:color w:val="1F497D" w:themeColor="text2"/>
                <w:sz w:val="20"/>
                <w:szCs w:val="20"/>
              </w:rPr>
              <w:t>Wawata</w:t>
            </w:r>
            <w:r w:rsidR="00843C38" w:rsidRPr="00D60C29">
              <w:rPr>
                <w:rFonts w:cstheme="minorHAnsi"/>
                <w:color w:val="1F497D" w:themeColor="text2"/>
                <w:sz w:val="20"/>
                <w:szCs w:val="20"/>
              </w:rPr>
              <w:t xml:space="preserve">/Involve </w:t>
            </w:r>
          </w:p>
          <w:p w:rsidR="00843C38" w:rsidRPr="00D60C29" w:rsidRDefault="00843C38" w:rsidP="0072569D">
            <w:pPr>
              <w:rPr>
                <w:color w:val="1F497D" w:themeColor="text2"/>
                <w:sz w:val="20"/>
                <w:szCs w:val="20"/>
              </w:rPr>
            </w:pPr>
          </w:p>
        </w:tc>
        <w:tc>
          <w:tcPr>
            <w:tcW w:w="5151" w:type="dxa"/>
            <w:shd w:val="clear" w:color="auto" w:fill="FFFFFF"/>
          </w:tcPr>
          <w:p w:rsidR="00843C38" w:rsidRPr="00D60C29" w:rsidRDefault="00843C38" w:rsidP="0072569D">
            <w:pPr>
              <w:rPr>
                <w:color w:val="1F497D" w:themeColor="text2"/>
                <w:sz w:val="20"/>
                <w:szCs w:val="20"/>
              </w:rPr>
            </w:pPr>
            <w:r w:rsidRPr="00D60C29">
              <w:rPr>
                <w:color w:val="1F497D" w:themeColor="text2"/>
                <w:sz w:val="20"/>
                <w:szCs w:val="20"/>
              </w:rPr>
              <w:t>16 events and activities have been planned for the Edgecumbe community aiming to address their needs by bringing emotional relief and support as the community continue their recovery efforts within the township.</w:t>
            </w:r>
          </w:p>
          <w:p w:rsidR="00843C38" w:rsidRPr="00D60C29" w:rsidRDefault="00843C38" w:rsidP="0072569D">
            <w:pPr>
              <w:rPr>
                <w:color w:val="1F497D" w:themeColor="text2"/>
                <w:sz w:val="20"/>
                <w:szCs w:val="20"/>
              </w:rPr>
            </w:pPr>
            <w:r w:rsidRPr="00D60C29">
              <w:rPr>
                <w:color w:val="1F497D" w:themeColor="text2"/>
                <w:sz w:val="20"/>
                <w:szCs w:val="20"/>
              </w:rPr>
              <w:t>The events and activities will not only enliven the flood affected community, but it will enhance community connections and build community resilience.</w:t>
            </w:r>
          </w:p>
          <w:p w:rsidR="00843C38" w:rsidRPr="00D60C29" w:rsidRDefault="00843C38" w:rsidP="0072569D">
            <w:pPr>
              <w:rPr>
                <w:color w:val="1F497D" w:themeColor="text2"/>
                <w:sz w:val="20"/>
                <w:szCs w:val="20"/>
              </w:rPr>
            </w:pPr>
            <w:r w:rsidRPr="00D60C29">
              <w:rPr>
                <w:color w:val="1F497D" w:themeColor="text2"/>
                <w:sz w:val="20"/>
                <w:szCs w:val="20"/>
              </w:rPr>
              <w:t>The underlying principles of the work proposed for the next seven months is for the community to recover from the shock and the loss following the stop bank breach are as follows:</w:t>
            </w:r>
          </w:p>
          <w:p w:rsidR="00843C38" w:rsidRPr="00D60C29" w:rsidRDefault="00843C38" w:rsidP="0072569D">
            <w:pPr>
              <w:pStyle w:val="ListParagraph"/>
              <w:numPr>
                <w:ilvl w:val="0"/>
                <w:numId w:val="37"/>
              </w:numPr>
              <w:rPr>
                <w:color w:val="1F497D" w:themeColor="text2"/>
                <w:sz w:val="20"/>
                <w:szCs w:val="20"/>
              </w:rPr>
            </w:pPr>
            <w:r w:rsidRPr="00D60C29">
              <w:rPr>
                <w:color w:val="1F497D" w:themeColor="text2"/>
                <w:sz w:val="20"/>
                <w:szCs w:val="20"/>
              </w:rPr>
              <w:t>The existing activities return to normal</w:t>
            </w:r>
          </w:p>
          <w:p w:rsidR="00843C38" w:rsidRPr="00D60C29" w:rsidRDefault="00843C38" w:rsidP="0072569D">
            <w:pPr>
              <w:pStyle w:val="ListParagraph"/>
              <w:numPr>
                <w:ilvl w:val="0"/>
                <w:numId w:val="37"/>
              </w:numPr>
              <w:rPr>
                <w:color w:val="1F497D" w:themeColor="text2"/>
                <w:sz w:val="20"/>
                <w:szCs w:val="20"/>
              </w:rPr>
            </w:pPr>
            <w:r w:rsidRPr="00D60C29">
              <w:rPr>
                <w:color w:val="1F497D" w:themeColor="text2"/>
                <w:sz w:val="20"/>
                <w:szCs w:val="20"/>
              </w:rPr>
              <w:t>School Holiday programme that ensure parents do not have to take more leave to look after children</w:t>
            </w:r>
          </w:p>
          <w:p w:rsidR="00843C38" w:rsidRPr="00D60C29" w:rsidRDefault="00843C38" w:rsidP="0072569D">
            <w:pPr>
              <w:pStyle w:val="ListParagraph"/>
              <w:numPr>
                <w:ilvl w:val="0"/>
                <w:numId w:val="37"/>
              </w:numPr>
              <w:rPr>
                <w:color w:val="1F497D" w:themeColor="text2"/>
                <w:sz w:val="20"/>
                <w:szCs w:val="20"/>
              </w:rPr>
            </w:pPr>
            <w:r w:rsidRPr="00D60C29">
              <w:rPr>
                <w:color w:val="1F497D" w:themeColor="text2"/>
                <w:sz w:val="20"/>
                <w:szCs w:val="20"/>
              </w:rPr>
              <w:t>Activities/Events that focus on the various age groups of the community</w:t>
            </w:r>
          </w:p>
          <w:p w:rsidR="00843C38" w:rsidRPr="00D60C29" w:rsidRDefault="00843C38" w:rsidP="0072569D">
            <w:pPr>
              <w:pStyle w:val="ListParagraph"/>
              <w:numPr>
                <w:ilvl w:val="0"/>
                <w:numId w:val="37"/>
              </w:numPr>
              <w:rPr>
                <w:color w:val="1F497D" w:themeColor="text2"/>
                <w:sz w:val="20"/>
                <w:szCs w:val="20"/>
              </w:rPr>
            </w:pPr>
            <w:r w:rsidRPr="00D60C29">
              <w:rPr>
                <w:color w:val="1F497D" w:themeColor="text2"/>
                <w:sz w:val="20"/>
                <w:szCs w:val="20"/>
              </w:rPr>
              <w:t>Support the community to take ownership of events for the future. (hopefully they can become annual events after the 7-month period ends)</w:t>
            </w:r>
          </w:p>
          <w:p w:rsidR="00843C38" w:rsidRPr="00D60C29" w:rsidRDefault="00843C38" w:rsidP="0072569D">
            <w:pPr>
              <w:pStyle w:val="ListParagraph"/>
              <w:numPr>
                <w:ilvl w:val="0"/>
                <w:numId w:val="37"/>
              </w:numPr>
              <w:rPr>
                <w:color w:val="1F497D" w:themeColor="text2"/>
                <w:sz w:val="20"/>
                <w:szCs w:val="20"/>
              </w:rPr>
            </w:pPr>
            <w:r w:rsidRPr="00D60C29">
              <w:rPr>
                <w:color w:val="1F497D" w:themeColor="text2"/>
                <w:sz w:val="20"/>
                <w:szCs w:val="20"/>
              </w:rPr>
              <w:t>People have an opportunity to relax and enjoy themselves as part of the psychosocial recovery from such a devastating event</w:t>
            </w:r>
          </w:p>
        </w:tc>
      </w:tr>
      <w:tr w:rsidR="00843C38" w:rsidRPr="004719A7" w:rsidTr="00D60C29">
        <w:trPr>
          <w:cantSplit/>
          <w:trHeight w:val="720"/>
        </w:trPr>
        <w:tc>
          <w:tcPr>
            <w:tcW w:w="1824" w:type="dxa"/>
            <w:shd w:val="clear" w:color="auto" w:fill="FFFFFF"/>
          </w:tcPr>
          <w:p w:rsidR="00843C38" w:rsidRPr="00D60C29" w:rsidRDefault="00843C38" w:rsidP="003F7440">
            <w:pPr>
              <w:rPr>
                <w:b/>
                <w:bCs/>
                <w:color w:val="1F497D" w:themeColor="text2"/>
                <w:sz w:val="20"/>
                <w:szCs w:val="20"/>
              </w:rPr>
            </w:pPr>
            <w:r w:rsidRPr="00D60C29">
              <w:rPr>
                <w:b/>
                <w:bCs/>
                <w:color w:val="1F497D" w:themeColor="text2"/>
                <w:sz w:val="20"/>
                <w:szCs w:val="20"/>
              </w:rPr>
              <w:lastRenderedPageBreak/>
              <w:t>E.D.I.T</w:t>
            </w:r>
          </w:p>
          <w:p w:rsidR="00843C38" w:rsidRPr="00D60C29" w:rsidRDefault="00843C38" w:rsidP="003F7440">
            <w:pPr>
              <w:rPr>
                <w:b/>
                <w:bCs/>
                <w:color w:val="1F497D" w:themeColor="text2"/>
                <w:sz w:val="20"/>
                <w:szCs w:val="20"/>
              </w:rPr>
            </w:pPr>
            <w:r w:rsidRPr="00D60C29">
              <w:rPr>
                <w:b/>
                <w:bCs/>
                <w:color w:val="1F497D" w:themeColor="text2"/>
                <w:sz w:val="20"/>
                <w:szCs w:val="20"/>
              </w:rPr>
              <w:t>Edgecumbe community</w:t>
            </w:r>
          </w:p>
        </w:tc>
        <w:tc>
          <w:tcPr>
            <w:tcW w:w="2145" w:type="dxa"/>
            <w:shd w:val="clear" w:color="auto" w:fill="FFFFFF"/>
          </w:tcPr>
          <w:p w:rsidR="00843C38" w:rsidRPr="00D60C29" w:rsidRDefault="00843C38" w:rsidP="00A81ACC">
            <w:pPr>
              <w:rPr>
                <w:rFonts w:cstheme="minorHAnsi"/>
                <w:color w:val="1F497D" w:themeColor="text2"/>
                <w:sz w:val="20"/>
                <w:szCs w:val="20"/>
              </w:rPr>
            </w:pPr>
            <w:r w:rsidRPr="00D60C29">
              <w:rPr>
                <w:rFonts w:cstheme="minorHAnsi"/>
                <w:color w:val="1F497D" w:themeColor="text2"/>
                <w:sz w:val="20"/>
                <w:szCs w:val="20"/>
              </w:rPr>
              <w:t xml:space="preserve">Whakamana/Empower  </w:t>
            </w:r>
          </w:p>
          <w:p w:rsidR="00843C38" w:rsidRPr="00D60C29" w:rsidRDefault="00843C38" w:rsidP="003F7440">
            <w:pPr>
              <w:rPr>
                <w:color w:val="1F497D" w:themeColor="text2"/>
                <w:sz w:val="20"/>
                <w:szCs w:val="20"/>
              </w:rPr>
            </w:pPr>
          </w:p>
        </w:tc>
        <w:tc>
          <w:tcPr>
            <w:tcW w:w="5151" w:type="dxa"/>
            <w:shd w:val="clear" w:color="auto" w:fill="FFFFFF"/>
          </w:tcPr>
          <w:p w:rsidR="00843C38" w:rsidRPr="00D60C29" w:rsidRDefault="00843C38" w:rsidP="00A81ACC">
            <w:pPr>
              <w:rPr>
                <w:color w:val="1F497D" w:themeColor="text2"/>
                <w:sz w:val="20"/>
                <w:szCs w:val="20"/>
                <w:highlight w:val="yellow"/>
              </w:rPr>
            </w:pPr>
            <w:r w:rsidRPr="00D60C29">
              <w:rPr>
                <w:color w:val="1F497D" w:themeColor="text2"/>
                <w:sz w:val="20"/>
                <w:szCs w:val="20"/>
              </w:rPr>
              <w:t xml:space="preserve">The group known as E.D.I.T. from the Edgecumbe community, have been thinking of different ways to help 'improve' and 'revitalize' Edgecumbe.  In consultation with the Edgecumbe community, they will be leading and facilitating a mural design project and rebuild fences along the Rangitaiki. The Mural Project encompasses painting multiple murals and incorporate the Edgecumbe youth community with the aid of famous artists. The other project that they have planned is a fencing project. </w:t>
            </w:r>
          </w:p>
          <w:p w:rsidR="00843C38" w:rsidRPr="00D60C29" w:rsidRDefault="00843C38" w:rsidP="003F7440">
            <w:pPr>
              <w:rPr>
                <w:color w:val="1F497D" w:themeColor="text2"/>
                <w:sz w:val="20"/>
                <w:szCs w:val="20"/>
              </w:rPr>
            </w:pPr>
            <w:r w:rsidRPr="00D60C29">
              <w:rPr>
                <w:color w:val="1F497D" w:themeColor="text2"/>
                <w:sz w:val="20"/>
                <w:szCs w:val="20"/>
              </w:rPr>
              <w:t>The 2 projects that have been planned for the Edgecumbe community by E.D.I.T are aiming to address their needs by bringing emotional relief and support as the community continue their recovery efforts within the township. It also provides an opportunity to look forward to the future.</w:t>
            </w:r>
          </w:p>
        </w:tc>
      </w:tr>
      <w:tr w:rsidR="00843C38" w:rsidRPr="004719A7" w:rsidTr="00D26B7E">
        <w:trPr>
          <w:trHeight w:val="720"/>
        </w:trPr>
        <w:tc>
          <w:tcPr>
            <w:tcW w:w="1824" w:type="dxa"/>
            <w:shd w:val="clear" w:color="auto" w:fill="FFFFFF"/>
          </w:tcPr>
          <w:p w:rsidR="00843C38" w:rsidRPr="00D60C29" w:rsidRDefault="00843C38" w:rsidP="003F7440">
            <w:pPr>
              <w:rPr>
                <w:b/>
                <w:bCs/>
                <w:color w:val="1F497D" w:themeColor="text2"/>
                <w:sz w:val="20"/>
                <w:szCs w:val="20"/>
              </w:rPr>
            </w:pPr>
            <w:r w:rsidRPr="00D60C29">
              <w:rPr>
                <w:b/>
                <w:bCs/>
                <w:color w:val="1F497D" w:themeColor="text2"/>
                <w:sz w:val="20"/>
                <w:szCs w:val="20"/>
              </w:rPr>
              <w:t>Community Focus Group</w:t>
            </w:r>
          </w:p>
          <w:p w:rsidR="00843C38" w:rsidRPr="00D60C29" w:rsidRDefault="00843C38" w:rsidP="003F7440">
            <w:pPr>
              <w:rPr>
                <w:b/>
                <w:bCs/>
                <w:color w:val="1F497D" w:themeColor="text2"/>
                <w:sz w:val="20"/>
                <w:szCs w:val="20"/>
              </w:rPr>
            </w:pPr>
            <w:r w:rsidRPr="00D60C29">
              <w:rPr>
                <w:b/>
                <w:bCs/>
                <w:color w:val="1F497D" w:themeColor="text2"/>
                <w:sz w:val="20"/>
                <w:szCs w:val="20"/>
              </w:rPr>
              <w:t>(initially supported by WRO)</w:t>
            </w:r>
          </w:p>
        </w:tc>
        <w:tc>
          <w:tcPr>
            <w:tcW w:w="2145" w:type="dxa"/>
            <w:shd w:val="clear" w:color="auto" w:fill="FFFFFF"/>
          </w:tcPr>
          <w:p w:rsidR="00843C38" w:rsidRPr="00D60C29" w:rsidRDefault="00843C38" w:rsidP="004719A7">
            <w:pPr>
              <w:rPr>
                <w:rFonts w:cstheme="minorHAnsi"/>
                <w:color w:val="1F497D" w:themeColor="text2"/>
                <w:sz w:val="20"/>
                <w:szCs w:val="20"/>
              </w:rPr>
            </w:pPr>
            <w:r w:rsidRPr="00D60C29">
              <w:rPr>
                <w:rFonts w:cstheme="minorHAnsi"/>
                <w:color w:val="1F497D" w:themeColor="text2"/>
                <w:sz w:val="20"/>
                <w:szCs w:val="20"/>
              </w:rPr>
              <w:t xml:space="preserve">Whakamana/Empower  </w:t>
            </w:r>
          </w:p>
          <w:p w:rsidR="00843C38" w:rsidRPr="00D60C29" w:rsidRDefault="00843C38" w:rsidP="003F7440">
            <w:pPr>
              <w:rPr>
                <w:color w:val="1F497D" w:themeColor="text2"/>
                <w:sz w:val="20"/>
                <w:szCs w:val="20"/>
              </w:rPr>
            </w:pPr>
          </w:p>
        </w:tc>
        <w:tc>
          <w:tcPr>
            <w:tcW w:w="5151" w:type="dxa"/>
            <w:shd w:val="clear" w:color="auto" w:fill="FFFFFF"/>
          </w:tcPr>
          <w:p w:rsidR="00843C38" w:rsidRPr="00D60C29" w:rsidRDefault="00843C38" w:rsidP="004719A7">
            <w:pPr>
              <w:rPr>
                <w:color w:val="1F497D" w:themeColor="text2"/>
                <w:sz w:val="20"/>
                <w:szCs w:val="20"/>
              </w:rPr>
            </w:pPr>
            <w:r w:rsidRPr="00D60C29">
              <w:rPr>
                <w:color w:val="1F497D" w:themeColor="text2"/>
                <w:sz w:val="20"/>
                <w:szCs w:val="20"/>
              </w:rPr>
              <w:t>The Edgecumbe Community Plan is being initially facilitated by the Whakatāne District Recovery Team but the plan will ultimately be owned and developed by the Edgecumbe Community.</w:t>
            </w:r>
          </w:p>
          <w:p w:rsidR="00843C38" w:rsidRPr="00D60C29" w:rsidRDefault="00843C38" w:rsidP="004719A7">
            <w:pPr>
              <w:rPr>
                <w:color w:val="1F497D" w:themeColor="text2"/>
                <w:sz w:val="20"/>
                <w:szCs w:val="20"/>
                <w:lang w:val="en"/>
              </w:rPr>
            </w:pPr>
            <w:r w:rsidRPr="00D60C29">
              <w:rPr>
                <w:color w:val="1F497D" w:themeColor="text2"/>
                <w:sz w:val="20"/>
                <w:szCs w:val="20"/>
              </w:rPr>
              <w:t xml:space="preserve">The plan is a step towards thinking about the future and how people would like to see their Edgecumbe community. A facilitator and community enthusiast, Peter Kenyon, specialises in community development and has worked with over 2000 communities in 59 countries, including Australia, New Zealand, South Africa and Canada will help the Edgecumbe community </w:t>
            </w:r>
            <w:r w:rsidRPr="00D60C29">
              <w:rPr>
                <w:color w:val="1F497D" w:themeColor="text2"/>
                <w:sz w:val="20"/>
                <w:szCs w:val="20"/>
                <w:lang w:val="en"/>
              </w:rPr>
              <w:t xml:space="preserve">to facilitate fresh and creative ways that stimulate community and local economic renewal.   </w:t>
            </w:r>
            <w:r w:rsidRPr="00D60C29">
              <w:rPr>
                <w:color w:val="1F497D" w:themeColor="text2"/>
                <w:sz w:val="20"/>
                <w:szCs w:val="20"/>
              </w:rPr>
              <w:t xml:space="preserve">Peter will spend </w:t>
            </w:r>
            <w:r w:rsidR="00D74372" w:rsidRPr="00D60C29">
              <w:rPr>
                <w:color w:val="1F497D" w:themeColor="text2"/>
                <w:sz w:val="20"/>
                <w:szCs w:val="20"/>
              </w:rPr>
              <w:t>time</w:t>
            </w:r>
            <w:r w:rsidRPr="00D60C29">
              <w:rPr>
                <w:color w:val="1F497D" w:themeColor="text2"/>
                <w:sz w:val="20"/>
                <w:szCs w:val="20"/>
              </w:rPr>
              <w:t xml:space="preserve"> in the community</w:t>
            </w:r>
            <w:r w:rsidR="00D74372" w:rsidRPr="00D60C29">
              <w:rPr>
                <w:color w:val="1F497D" w:themeColor="text2"/>
                <w:sz w:val="20"/>
                <w:szCs w:val="20"/>
              </w:rPr>
              <w:t>,</w:t>
            </w:r>
            <w:r w:rsidRPr="00D60C29">
              <w:rPr>
                <w:color w:val="1F497D" w:themeColor="text2"/>
                <w:sz w:val="20"/>
                <w:szCs w:val="20"/>
              </w:rPr>
              <w:t xml:space="preserve"> meeting with a range of </w:t>
            </w:r>
            <w:r w:rsidR="00D74372" w:rsidRPr="00D60C29">
              <w:rPr>
                <w:color w:val="1F497D" w:themeColor="text2"/>
                <w:sz w:val="20"/>
                <w:szCs w:val="20"/>
              </w:rPr>
              <w:t>stakeholders</w:t>
            </w:r>
            <w:r w:rsidRPr="00D60C29">
              <w:rPr>
                <w:color w:val="1F497D" w:themeColor="text2"/>
                <w:sz w:val="20"/>
                <w:szCs w:val="20"/>
              </w:rPr>
              <w:t xml:space="preserve">, along with </w:t>
            </w:r>
            <w:r w:rsidR="00D74372" w:rsidRPr="00D60C29">
              <w:rPr>
                <w:color w:val="1F497D" w:themeColor="text2"/>
                <w:sz w:val="20"/>
                <w:szCs w:val="20"/>
              </w:rPr>
              <w:t xml:space="preserve">leading </w:t>
            </w:r>
            <w:r w:rsidRPr="00D60C29">
              <w:rPr>
                <w:color w:val="1F497D" w:themeColor="text2"/>
                <w:sz w:val="20"/>
                <w:szCs w:val="20"/>
              </w:rPr>
              <w:t>a public meeting to ensure he has the wider community’s views captured.</w:t>
            </w:r>
          </w:p>
          <w:p w:rsidR="00843C38" w:rsidRPr="00D60C29" w:rsidRDefault="00D74372" w:rsidP="00D74372">
            <w:pPr>
              <w:rPr>
                <w:color w:val="1F497D" w:themeColor="text2"/>
                <w:sz w:val="20"/>
                <w:szCs w:val="20"/>
              </w:rPr>
            </w:pPr>
            <w:r w:rsidRPr="00D60C29">
              <w:rPr>
                <w:color w:val="1F497D" w:themeColor="text2"/>
                <w:sz w:val="20"/>
                <w:szCs w:val="20"/>
              </w:rPr>
              <w:t>The Community Workshop</w:t>
            </w:r>
            <w:r w:rsidR="00843C38" w:rsidRPr="00D60C29">
              <w:rPr>
                <w:color w:val="1F497D" w:themeColor="text2"/>
                <w:sz w:val="20"/>
                <w:szCs w:val="20"/>
              </w:rPr>
              <w:t xml:space="preserve">, facilitated by Peter, will aim to </w:t>
            </w:r>
            <w:r w:rsidRPr="00D60C29">
              <w:rPr>
                <w:color w:val="1F497D" w:themeColor="text2"/>
                <w:sz w:val="20"/>
                <w:szCs w:val="20"/>
              </w:rPr>
              <w:t>enrich</w:t>
            </w:r>
            <w:r w:rsidR="00843C38" w:rsidRPr="00D60C29">
              <w:rPr>
                <w:color w:val="1F497D" w:themeColor="text2"/>
                <w:sz w:val="20"/>
                <w:szCs w:val="20"/>
              </w:rPr>
              <w:t xml:space="preserve"> the Edgecumbe community by addressing their needs to look forward to the future and support ideas and projects for their community as they continue their recovery efforts within the township. </w:t>
            </w:r>
          </w:p>
        </w:tc>
      </w:tr>
    </w:tbl>
    <w:p w:rsidR="00332EF5" w:rsidRPr="000F64ED" w:rsidRDefault="00332EF5" w:rsidP="000F64ED">
      <w:pPr>
        <w:rPr>
          <w:rFonts w:cstheme="minorHAnsi"/>
          <w:i/>
        </w:rPr>
      </w:pPr>
    </w:p>
    <w:p w:rsidR="000F64ED" w:rsidRDefault="000F64ED" w:rsidP="000F64ED">
      <w:pPr>
        <w:rPr>
          <w:rFonts w:cstheme="minorHAnsi"/>
        </w:rPr>
      </w:pPr>
    </w:p>
    <w:p w:rsidR="00332EF5" w:rsidRPr="00332EF5" w:rsidRDefault="00332EF5" w:rsidP="00332EF5">
      <w:pPr>
        <w:pStyle w:val="ListParagraph"/>
        <w:numPr>
          <w:ilvl w:val="0"/>
          <w:numId w:val="19"/>
        </w:numPr>
        <w:rPr>
          <w:rFonts w:cstheme="minorHAnsi"/>
        </w:rPr>
        <w:sectPr w:rsidR="00332EF5" w:rsidRPr="00332EF5" w:rsidSect="004749D1">
          <w:pgSz w:w="11907" w:h="16839" w:code="9"/>
          <w:pgMar w:top="1440" w:right="1440" w:bottom="1276" w:left="1440" w:header="708" w:footer="708" w:gutter="0"/>
          <w:cols w:space="708"/>
          <w:docGrid w:linePitch="360"/>
        </w:sectPr>
      </w:pPr>
    </w:p>
    <w:p w:rsidR="00E30C31" w:rsidRPr="00D60C29" w:rsidRDefault="00E30C31" w:rsidP="000F64ED">
      <w:pPr>
        <w:pStyle w:val="Heading2"/>
        <w:rPr>
          <w:color w:val="1F497D" w:themeColor="text2"/>
        </w:rPr>
      </w:pPr>
      <w:r w:rsidRPr="00D60C29">
        <w:rPr>
          <w:color w:val="1F497D" w:themeColor="text2"/>
        </w:rPr>
        <w:lastRenderedPageBreak/>
        <w:t>Iwi Engagement</w:t>
      </w:r>
    </w:p>
    <w:p w:rsidR="000715A6" w:rsidRPr="000715A6" w:rsidRDefault="000715A6" w:rsidP="000715A6">
      <w:pPr>
        <w:rPr>
          <w:b/>
          <w:sz w:val="36"/>
          <w:szCs w:val="36"/>
        </w:rPr>
      </w:pPr>
      <w:r>
        <w:t xml:space="preserve">This map illustrates the boundaries of the Iwi interests within the Whakatāne District (excluding Ngāti Rangitihi who was not included at the time map was illustrated).  Each Iwi has its own tikanga, and belief systems that reflect their respective histories. In terms of the 2017 civil defence event, each Iwi faces its own challenges in terms of recovery. </w:t>
      </w:r>
    </w:p>
    <w:p w:rsidR="000715A6" w:rsidRPr="00EB2AE5" w:rsidRDefault="000715A6" w:rsidP="000715A6">
      <w:r>
        <w:tab/>
      </w:r>
      <w:r>
        <w:rPr>
          <w:noProof/>
          <w:lang w:eastAsia="en-NZ"/>
        </w:rPr>
        <w:drawing>
          <wp:inline distT="0" distB="0" distL="0" distR="0" wp14:anchorId="08081165" wp14:editId="388FFB3A">
            <wp:extent cx="4171533" cy="5486400"/>
            <wp:effectExtent l="0" t="0" r="635" b="0"/>
            <wp:docPr id="3" name="Picture 3" descr="H:\objective cache\Objects\Iwi boundaries (A476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bjective cache\Objects\Iwi boundaries (A47672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70406" cy="5484917"/>
                    </a:xfrm>
                    <a:prstGeom prst="rect">
                      <a:avLst/>
                    </a:prstGeom>
                    <a:noFill/>
                    <a:ln>
                      <a:noFill/>
                    </a:ln>
                  </pic:spPr>
                </pic:pic>
              </a:graphicData>
            </a:graphic>
          </wp:inline>
        </w:drawing>
      </w:r>
    </w:p>
    <w:p w:rsidR="000715A6" w:rsidRPr="00D60C29" w:rsidRDefault="000715A6" w:rsidP="000F64ED">
      <w:pPr>
        <w:pStyle w:val="Heading2"/>
        <w:rPr>
          <w:color w:val="1F497D" w:themeColor="text2"/>
        </w:rPr>
      </w:pPr>
      <w:r w:rsidRPr="00D60C29">
        <w:rPr>
          <w:color w:val="1F497D" w:themeColor="text2"/>
        </w:rPr>
        <w:t>How we will work alongside Māori</w:t>
      </w:r>
    </w:p>
    <w:p w:rsidR="000715A6" w:rsidRPr="00F96D11" w:rsidRDefault="000715A6" w:rsidP="000715A6">
      <w:pPr>
        <w:tabs>
          <w:tab w:val="left" w:pos="3684"/>
        </w:tabs>
        <w:rPr>
          <w:noProof/>
          <w:lang w:eastAsia="mi-NZ"/>
        </w:rPr>
      </w:pPr>
      <w:r w:rsidRPr="00F96D11">
        <w:rPr>
          <w:noProof/>
          <w:lang w:eastAsia="mi-NZ"/>
        </w:rPr>
        <w:t>The Recovery Team will maintain communications and a positive working relationship with the identified Iwi Authorities throughout the duration of the Whakatane District Recovery Project.</w:t>
      </w:r>
    </w:p>
    <w:p w:rsidR="000715A6" w:rsidRPr="00F96D11" w:rsidRDefault="000715A6" w:rsidP="000715A6">
      <w:pPr>
        <w:pStyle w:val="ListParagraph"/>
        <w:numPr>
          <w:ilvl w:val="0"/>
          <w:numId w:val="7"/>
        </w:numPr>
        <w:rPr>
          <w:noProof/>
          <w:lang w:eastAsia="mi-NZ"/>
        </w:rPr>
      </w:pPr>
      <w:r w:rsidRPr="00F96D11">
        <w:rPr>
          <w:noProof/>
          <w:lang w:eastAsia="mi-NZ"/>
        </w:rPr>
        <w:t>The Principles of Whakaute, Pononga, Ka</w:t>
      </w:r>
      <w:r w:rsidR="00D60C29">
        <w:rPr>
          <w:noProof/>
          <w:lang w:eastAsia="mi-NZ"/>
        </w:rPr>
        <w:t>nohi ki te Kanohi, and Tikanga ā</w:t>
      </w:r>
      <w:r w:rsidRPr="00F96D11">
        <w:rPr>
          <w:noProof/>
          <w:lang w:eastAsia="mi-NZ"/>
        </w:rPr>
        <w:t xml:space="preserve"> Iwi will be adhered to in all the Recovery Team’s engagements with Iwi, as much as possible </w:t>
      </w:r>
    </w:p>
    <w:p w:rsidR="000715A6" w:rsidRPr="00F96D11" w:rsidRDefault="000715A6" w:rsidP="000715A6">
      <w:pPr>
        <w:pStyle w:val="ListParagraph"/>
        <w:numPr>
          <w:ilvl w:val="0"/>
          <w:numId w:val="7"/>
        </w:numPr>
        <w:rPr>
          <w:noProof/>
          <w:lang w:eastAsia="mi-NZ"/>
        </w:rPr>
      </w:pPr>
      <w:r w:rsidRPr="00F96D11">
        <w:rPr>
          <w:noProof/>
          <w:lang w:eastAsia="mi-NZ"/>
        </w:rPr>
        <w:t>Recovery projects will give consideratio</w:t>
      </w:r>
      <w:r w:rsidR="009457EB">
        <w:rPr>
          <w:noProof/>
          <w:lang w:eastAsia="mi-NZ"/>
        </w:rPr>
        <w:t>n to engagement and partnership</w:t>
      </w:r>
      <w:r w:rsidRPr="00F96D11">
        <w:rPr>
          <w:noProof/>
          <w:lang w:eastAsia="mi-NZ"/>
        </w:rPr>
        <w:t xml:space="preserve"> opportunities with Iwi to identify the potential for collaborative work progammes.</w:t>
      </w:r>
    </w:p>
    <w:p w:rsidR="000715A6" w:rsidRPr="00F96D11" w:rsidRDefault="000715A6" w:rsidP="000715A6">
      <w:pPr>
        <w:pStyle w:val="ListParagraph"/>
        <w:numPr>
          <w:ilvl w:val="0"/>
          <w:numId w:val="7"/>
        </w:numPr>
        <w:rPr>
          <w:noProof/>
          <w:lang w:eastAsia="mi-NZ"/>
        </w:rPr>
      </w:pPr>
      <w:r w:rsidRPr="00F96D11">
        <w:rPr>
          <w:noProof/>
          <w:lang w:eastAsia="mi-NZ"/>
        </w:rPr>
        <w:t xml:space="preserve">Iwi will be shown </w:t>
      </w:r>
      <w:r w:rsidR="009457EB">
        <w:rPr>
          <w:noProof/>
          <w:lang w:eastAsia="mi-NZ"/>
        </w:rPr>
        <w:t>respect and mana as</w:t>
      </w:r>
      <w:r w:rsidRPr="00F96D11">
        <w:rPr>
          <w:noProof/>
          <w:lang w:eastAsia="mi-NZ"/>
        </w:rPr>
        <w:t xml:space="preserve"> strategic partner</w:t>
      </w:r>
      <w:r w:rsidR="009457EB">
        <w:rPr>
          <w:noProof/>
          <w:lang w:eastAsia="mi-NZ"/>
        </w:rPr>
        <w:t>s</w:t>
      </w:r>
      <w:r w:rsidRPr="00F96D11">
        <w:rPr>
          <w:noProof/>
          <w:lang w:eastAsia="mi-NZ"/>
        </w:rPr>
        <w:t xml:space="preserve"> alongside the Recovery Team through their status as Mana Whenua authorities in the Whakat</w:t>
      </w:r>
      <w:r w:rsidR="00D60C29">
        <w:rPr>
          <w:noProof/>
          <w:lang w:eastAsia="mi-NZ"/>
        </w:rPr>
        <w:t>ā</w:t>
      </w:r>
      <w:r w:rsidRPr="00F96D11">
        <w:rPr>
          <w:noProof/>
          <w:lang w:eastAsia="mi-NZ"/>
        </w:rPr>
        <w:t>ne District.</w:t>
      </w:r>
    </w:p>
    <w:p w:rsidR="000715A6" w:rsidRPr="00F96D11" w:rsidRDefault="000715A6" w:rsidP="000715A6">
      <w:pPr>
        <w:pStyle w:val="ListParagraph"/>
        <w:numPr>
          <w:ilvl w:val="0"/>
          <w:numId w:val="7"/>
        </w:numPr>
        <w:rPr>
          <w:noProof/>
          <w:lang w:eastAsia="mi-NZ"/>
        </w:rPr>
      </w:pPr>
      <w:r w:rsidRPr="00F96D11">
        <w:rPr>
          <w:noProof/>
          <w:lang w:eastAsia="mi-NZ"/>
        </w:rPr>
        <w:lastRenderedPageBreak/>
        <w:t>If kōiwi are found at all throughout the Recovery Project then immediate contact with the relevant Iwi Authority will be made to develop an investigative plan.</w:t>
      </w:r>
    </w:p>
    <w:p w:rsidR="00E30C31" w:rsidRPr="00D5767F" w:rsidRDefault="000715A6" w:rsidP="00E30C31">
      <w:r>
        <w:t>A summary of Iwi engagement is outlined in the table below.</w:t>
      </w:r>
      <w:r w:rsidR="007E416F">
        <w:t xml:space="preserve">  Refer Appendix I for key Iwi contacts.</w:t>
      </w:r>
    </w:p>
    <w:tbl>
      <w:tblPr>
        <w:tblW w:w="509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75"/>
        <w:gridCol w:w="4506"/>
        <w:gridCol w:w="3299"/>
      </w:tblGrid>
      <w:tr w:rsidR="00CE6089" w:rsidRPr="00F412D8" w:rsidTr="00041BC9">
        <w:trPr>
          <w:trHeight w:val="469"/>
          <w:tblHeader/>
        </w:trPr>
        <w:tc>
          <w:tcPr>
            <w:tcW w:w="749" w:type="pct"/>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CE6089" w:rsidRPr="00D60C29" w:rsidRDefault="00CE6089" w:rsidP="004749D1">
            <w:pPr>
              <w:jc w:val="center"/>
              <w:rPr>
                <w:b/>
                <w:bCs/>
                <w:color w:val="FFFFFF" w:themeColor="background1"/>
                <w:sz w:val="20"/>
                <w:szCs w:val="20"/>
              </w:rPr>
            </w:pPr>
            <w:r w:rsidRPr="00D60C29">
              <w:rPr>
                <w:b/>
                <w:bCs/>
                <w:color w:val="FFFFFF" w:themeColor="background1"/>
                <w:sz w:val="20"/>
                <w:szCs w:val="20"/>
              </w:rPr>
              <w:t>Iwi Interest</w:t>
            </w:r>
          </w:p>
        </w:tc>
        <w:tc>
          <w:tcPr>
            <w:tcW w:w="2454" w:type="pct"/>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CE6089" w:rsidRPr="00D60C29" w:rsidRDefault="00CE6089" w:rsidP="004749D1">
            <w:pPr>
              <w:jc w:val="center"/>
              <w:rPr>
                <w:b/>
                <w:bCs/>
                <w:color w:val="FFFFFF" w:themeColor="background1"/>
                <w:sz w:val="20"/>
                <w:szCs w:val="20"/>
              </w:rPr>
            </w:pPr>
            <w:r w:rsidRPr="00D60C29">
              <w:rPr>
                <w:b/>
                <w:bCs/>
                <w:color w:val="FFFFFF" w:themeColor="background1"/>
                <w:sz w:val="20"/>
                <w:szCs w:val="20"/>
              </w:rPr>
              <w:t>Level of Engagement</w:t>
            </w:r>
          </w:p>
        </w:tc>
        <w:tc>
          <w:tcPr>
            <w:tcW w:w="1797" w:type="pct"/>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CE6089" w:rsidRPr="00D60C29" w:rsidRDefault="00CE6089" w:rsidP="004749D1">
            <w:pPr>
              <w:jc w:val="center"/>
              <w:rPr>
                <w:b/>
                <w:bCs/>
                <w:color w:val="FFFFFF" w:themeColor="background1"/>
                <w:sz w:val="20"/>
                <w:szCs w:val="20"/>
              </w:rPr>
            </w:pPr>
            <w:r w:rsidRPr="00D60C29">
              <w:rPr>
                <w:b/>
                <w:bCs/>
                <w:color w:val="FFFFFF" w:themeColor="background1"/>
                <w:sz w:val="20"/>
                <w:szCs w:val="20"/>
              </w:rPr>
              <w:t>Statistical Information and quick facts</w:t>
            </w:r>
          </w:p>
        </w:tc>
      </w:tr>
      <w:tr w:rsidR="00CE6089" w:rsidRPr="00F412D8" w:rsidTr="00041BC9">
        <w:trPr>
          <w:trHeight w:val="2876"/>
        </w:trPr>
        <w:tc>
          <w:tcPr>
            <w:tcW w:w="749" w:type="pct"/>
            <w:shd w:val="clear" w:color="auto" w:fill="FFFFFF"/>
            <w:hideMark/>
          </w:tcPr>
          <w:p w:rsidR="00CE6089" w:rsidRPr="00D60C29" w:rsidRDefault="00CE6089" w:rsidP="004749D1">
            <w:pPr>
              <w:rPr>
                <w:b/>
                <w:bCs/>
                <w:color w:val="1F497D" w:themeColor="text2"/>
                <w:sz w:val="20"/>
                <w:szCs w:val="20"/>
              </w:rPr>
            </w:pPr>
            <w:r w:rsidRPr="00D60C29">
              <w:rPr>
                <w:i/>
                <w:color w:val="1F497D" w:themeColor="text2"/>
                <w:sz w:val="20"/>
                <w:szCs w:val="20"/>
              </w:rPr>
              <w:t>Ngāti Awa</w:t>
            </w:r>
          </w:p>
        </w:tc>
        <w:tc>
          <w:tcPr>
            <w:tcW w:w="2454" w:type="pct"/>
            <w:shd w:val="clear" w:color="auto" w:fill="FFFFFF"/>
            <w:hideMark/>
          </w:tcPr>
          <w:p w:rsidR="00CE6089" w:rsidRPr="00D60C29" w:rsidRDefault="00CE6089" w:rsidP="004749D1">
            <w:pPr>
              <w:rPr>
                <w:color w:val="1F497D" w:themeColor="text2"/>
                <w:sz w:val="20"/>
                <w:szCs w:val="20"/>
              </w:rPr>
            </w:pPr>
            <w:r w:rsidRPr="00D60C29">
              <w:rPr>
                <w:color w:val="1F497D" w:themeColor="text2"/>
                <w:sz w:val="20"/>
                <w:szCs w:val="20"/>
              </w:rPr>
              <w:t>Engagement with Ngāti Awa Rūnanga CEO to debrief on the Civil Defence Response activities and to introduce the Recovery Project.</w:t>
            </w:r>
          </w:p>
          <w:p w:rsidR="00CE6089" w:rsidRPr="00D60C29" w:rsidRDefault="00CE6089" w:rsidP="004749D1">
            <w:pPr>
              <w:rPr>
                <w:color w:val="1F497D" w:themeColor="text2"/>
                <w:sz w:val="20"/>
                <w:szCs w:val="20"/>
              </w:rPr>
            </w:pPr>
            <w:r w:rsidRPr="00D60C29">
              <w:rPr>
                <w:color w:val="1F497D" w:themeColor="text2"/>
                <w:sz w:val="20"/>
                <w:szCs w:val="20"/>
              </w:rPr>
              <w:t>Hui with Rūnanga CEO being held frequently to maintain communications and provide updates</w:t>
            </w:r>
          </w:p>
          <w:p w:rsidR="00CE6089" w:rsidRPr="00D60C29" w:rsidRDefault="00CE6089" w:rsidP="004749D1">
            <w:pPr>
              <w:rPr>
                <w:color w:val="1F497D" w:themeColor="text2"/>
                <w:sz w:val="20"/>
                <w:szCs w:val="20"/>
              </w:rPr>
            </w:pPr>
            <w:r w:rsidRPr="00D60C29">
              <w:rPr>
                <w:color w:val="1F497D" w:themeColor="text2"/>
                <w:sz w:val="20"/>
                <w:szCs w:val="20"/>
              </w:rPr>
              <w:t>Weekly Recovery updates provided and cultural support accessed for Recovery events and service launches</w:t>
            </w:r>
          </w:p>
        </w:tc>
        <w:tc>
          <w:tcPr>
            <w:tcW w:w="1797" w:type="pct"/>
            <w:shd w:val="clear" w:color="auto" w:fill="FFFFFF"/>
            <w:hideMark/>
          </w:tcPr>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Descendants of M</w:t>
            </w:r>
            <w:r w:rsidR="00D60C29">
              <w:rPr>
                <w:color w:val="1F497D" w:themeColor="text2"/>
                <w:sz w:val="20"/>
                <w:szCs w:val="20"/>
              </w:rPr>
              <w:t>a</w:t>
            </w:r>
            <w:r w:rsidRPr="00D60C29">
              <w:rPr>
                <w:color w:val="1F497D" w:themeColor="text2"/>
                <w:sz w:val="20"/>
                <w:szCs w:val="20"/>
              </w:rPr>
              <w:t>taatua Waka</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 xml:space="preserve">16,179 people affiliate as being of Ngāti Awa descent </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43.1% of Ngāti Awa members live in the Bay of Plenty region</w:t>
            </w:r>
          </w:p>
          <w:p w:rsidR="00CE6089" w:rsidRPr="00D60C29" w:rsidRDefault="00CE6089" w:rsidP="00CE6089">
            <w:pPr>
              <w:pStyle w:val="ListParagraph"/>
              <w:ind w:left="175" w:hanging="142"/>
              <w:rPr>
                <w:color w:val="1F497D" w:themeColor="text2"/>
                <w:sz w:val="20"/>
                <w:szCs w:val="20"/>
              </w:rPr>
            </w:pPr>
          </w:p>
        </w:tc>
      </w:tr>
      <w:tr w:rsidR="00CE6089" w:rsidRPr="00F412D8" w:rsidTr="00041BC9">
        <w:trPr>
          <w:trHeight w:val="2856"/>
        </w:trPr>
        <w:tc>
          <w:tcPr>
            <w:tcW w:w="749" w:type="pct"/>
            <w:shd w:val="clear" w:color="auto" w:fill="FFFFFF"/>
          </w:tcPr>
          <w:p w:rsidR="00CE6089" w:rsidRPr="00D60C29" w:rsidRDefault="00CE6089" w:rsidP="004749D1">
            <w:pPr>
              <w:rPr>
                <w:b/>
                <w:bCs/>
                <w:color w:val="1F497D" w:themeColor="text2"/>
                <w:sz w:val="20"/>
                <w:szCs w:val="20"/>
              </w:rPr>
            </w:pPr>
            <w:r w:rsidRPr="00D60C29">
              <w:rPr>
                <w:i/>
                <w:color w:val="1F497D" w:themeColor="text2"/>
                <w:sz w:val="20"/>
                <w:szCs w:val="20"/>
              </w:rPr>
              <w:t>Ngāti Manawa</w:t>
            </w:r>
          </w:p>
        </w:tc>
        <w:tc>
          <w:tcPr>
            <w:tcW w:w="2454" w:type="pct"/>
            <w:shd w:val="clear" w:color="auto" w:fill="FFFFFF"/>
          </w:tcPr>
          <w:p w:rsidR="00CE6089" w:rsidRPr="00D60C29" w:rsidRDefault="00CE6089" w:rsidP="004749D1">
            <w:pPr>
              <w:rPr>
                <w:color w:val="1F497D" w:themeColor="text2"/>
                <w:sz w:val="20"/>
                <w:szCs w:val="20"/>
              </w:rPr>
            </w:pPr>
            <w:r w:rsidRPr="00D60C29">
              <w:rPr>
                <w:color w:val="1F497D" w:themeColor="text2"/>
                <w:sz w:val="20"/>
                <w:szCs w:val="20"/>
              </w:rPr>
              <w:t xml:space="preserve">Engagement with Ngāti Manawa Rūnanga’s General Manager to debrief on the Civil Defence Response, and obtain local intelligence and information pertaining to affected properties. </w:t>
            </w:r>
          </w:p>
          <w:p w:rsidR="00CE6089" w:rsidRPr="00D60C29" w:rsidRDefault="00CE6089" w:rsidP="004749D1">
            <w:pPr>
              <w:rPr>
                <w:color w:val="1F497D" w:themeColor="text2"/>
                <w:sz w:val="20"/>
                <w:szCs w:val="20"/>
              </w:rPr>
            </w:pPr>
            <w:r w:rsidRPr="00D60C29">
              <w:rPr>
                <w:color w:val="1F497D" w:themeColor="text2"/>
                <w:sz w:val="20"/>
                <w:szCs w:val="20"/>
              </w:rPr>
              <w:t>The main issues within Ngāti Manawa rohe were impacted farming businesses, and damage to roads resulting in temporary closure</w:t>
            </w:r>
          </w:p>
          <w:p w:rsidR="00CE6089" w:rsidRPr="00D60C29" w:rsidRDefault="00CE6089" w:rsidP="004749D1">
            <w:pPr>
              <w:rPr>
                <w:color w:val="1F497D" w:themeColor="text2"/>
                <w:sz w:val="20"/>
                <w:szCs w:val="20"/>
              </w:rPr>
            </w:pPr>
            <w:r w:rsidRPr="00D60C29">
              <w:rPr>
                <w:color w:val="1F497D" w:themeColor="text2"/>
                <w:sz w:val="20"/>
                <w:szCs w:val="20"/>
              </w:rPr>
              <w:t>Weekly Recovery updates provided.</w:t>
            </w:r>
          </w:p>
        </w:tc>
        <w:tc>
          <w:tcPr>
            <w:tcW w:w="1797" w:type="pct"/>
            <w:shd w:val="clear" w:color="auto" w:fill="FFFFFF"/>
          </w:tcPr>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 xml:space="preserve">Descendants of </w:t>
            </w:r>
            <w:r w:rsidR="00D60C29">
              <w:rPr>
                <w:color w:val="1F497D" w:themeColor="text2"/>
                <w:sz w:val="20"/>
                <w:szCs w:val="20"/>
              </w:rPr>
              <w:t>Mataatua</w:t>
            </w:r>
            <w:r w:rsidRPr="00D60C29">
              <w:rPr>
                <w:color w:val="1F497D" w:themeColor="text2"/>
                <w:sz w:val="20"/>
                <w:szCs w:val="20"/>
              </w:rPr>
              <w:t xml:space="preserve"> Waka</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2,256 people affiliate as being of Ngāti Manawa descent</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49.3% of Ngāti Manawa members live in the Bay of Plenty region</w:t>
            </w:r>
          </w:p>
        </w:tc>
      </w:tr>
      <w:tr w:rsidR="00CE6089" w:rsidRPr="00F412D8" w:rsidTr="00041BC9">
        <w:trPr>
          <w:trHeight w:val="3971"/>
        </w:trPr>
        <w:tc>
          <w:tcPr>
            <w:tcW w:w="749" w:type="pct"/>
            <w:shd w:val="clear" w:color="auto" w:fill="FFFFFF"/>
          </w:tcPr>
          <w:p w:rsidR="00CE6089" w:rsidRPr="00D60C29" w:rsidRDefault="00CE6089" w:rsidP="004749D1">
            <w:pPr>
              <w:rPr>
                <w:b/>
                <w:bCs/>
                <w:color w:val="1F497D" w:themeColor="text2"/>
                <w:sz w:val="20"/>
                <w:szCs w:val="20"/>
              </w:rPr>
            </w:pPr>
            <w:r w:rsidRPr="00D60C29">
              <w:rPr>
                <w:i/>
                <w:color w:val="1F497D" w:themeColor="text2"/>
                <w:sz w:val="20"/>
                <w:szCs w:val="20"/>
              </w:rPr>
              <w:t>Ngāti Rangitihi</w:t>
            </w:r>
          </w:p>
        </w:tc>
        <w:tc>
          <w:tcPr>
            <w:tcW w:w="2454" w:type="pct"/>
            <w:shd w:val="clear" w:color="auto" w:fill="FFFFFF"/>
          </w:tcPr>
          <w:p w:rsidR="00CE6089" w:rsidRPr="00D60C29" w:rsidRDefault="00CE6089" w:rsidP="004749D1">
            <w:pPr>
              <w:rPr>
                <w:color w:val="1F497D" w:themeColor="text2"/>
                <w:sz w:val="20"/>
                <w:szCs w:val="20"/>
              </w:rPr>
            </w:pPr>
            <w:r w:rsidRPr="00D60C29">
              <w:rPr>
                <w:color w:val="1F497D" w:themeColor="text2"/>
                <w:sz w:val="20"/>
                <w:szCs w:val="20"/>
              </w:rPr>
              <w:t>Engagement held with Ngāti Rangitihi Manager and Trust Board Member to update on the Recovery Project and debrief on the Civil Defence Response operation.</w:t>
            </w:r>
          </w:p>
          <w:p w:rsidR="00CE6089" w:rsidRPr="00D60C29" w:rsidRDefault="00CE6089" w:rsidP="004749D1">
            <w:pPr>
              <w:rPr>
                <w:color w:val="1F497D" w:themeColor="text2"/>
                <w:sz w:val="20"/>
                <w:szCs w:val="20"/>
              </w:rPr>
            </w:pPr>
            <w:r w:rsidRPr="00D60C29">
              <w:rPr>
                <w:color w:val="1F497D" w:themeColor="text2"/>
                <w:sz w:val="20"/>
                <w:szCs w:val="20"/>
              </w:rPr>
              <w:t xml:space="preserve">In the early stages of the Recovery Project, </w:t>
            </w:r>
            <w:r w:rsidRPr="00D60C29">
              <w:rPr>
                <w:i/>
                <w:color w:val="1F497D" w:themeColor="text2"/>
                <w:sz w:val="20"/>
                <w:szCs w:val="20"/>
              </w:rPr>
              <w:t>Involved Engagement</w:t>
            </w:r>
            <w:r w:rsidRPr="00D60C29">
              <w:rPr>
                <w:color w:val="1F497D" w:themeColor="text2"/>
                <w:sz w:val="20"/>
                <w:szCs w:val="20"/>
              </w:rPr>
              <w:t xml:space="preserve"> occurred with Ngāti Rangitihi through the housing classification initiative in Edgecumbe. Key information and planning was shared to identify Ngāti Rangitihi descendants affected by the flooding in Edgecumbe and how the Iwi could support them financially to recover</w:t>
            </w:r>
          </w:p>
          <w:p w:rsidR="00CE6089" w:rsidRPr="00D60C29" w:rsidRDefault="00CE6089" w:rsidP="004749D1">
            <w:pPr>
              <w:rPr>
                <w:color w:val="1F497D" w:themeColor="text2"/>
                <w:sz w:val="20"/>
                <w:szCs w:val="20"/>
              </w:rPr>
            </w:pPr>
            <w:r w:rsidRPr="00D60C29">
              <w:rPr>
                <w:color w:val="1F497D" w:themeColor="text2"/>
                <w:sz w:val="20"/>
                <w:szCs w:val="20"/>
              </w:rPr>
              <w:t>W</w:t>
            </w:r>
            <w:r w:rsidR="00D60C29">
              <w:rPr>
                <w:color w:val="1F497D" w:themeColor="text2"/>
                <w:sz w:val="20"/>
                <w:szCs w:val="20"/>
              </w:rPr>
              <w:t>eekly Recovery updates provided</w:t>
            </w:r>
          </w:p>
        </w:tc>
        <w:tc>
          <w:tcPr>
            <w:tcW w:w="1797" w:type="pct"/>
            <w:shd w:val="clear" w:color="auto" w:fill="FFFFFF"/>
          </w:tcPr>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Descendants of Te Arawa Waka</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2,298 people affiliate as being of Ngāti Rangitihi descent</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46.3% of Ngāti Rangitihi members live in the Bay of Plenty region</w:t>
            </w:r>
          </w:p>
        </w:tc>
      </w:tr>
      <w:tr w:rsidR="00CE6089" w:rsidRPr="00F412D8" w:rsidTr="00041BC9">
        <w:trPr>
          <w:cantSplit/>
          <w:trHeight w:val="6084"/>
        </w:trPr>
        <w:tc>
          <w:tcPr>
            <w:tcW w:w="749" w:type="pct"/>
            <w:shd w:val="clear" w:color="auto" w:fill="FFFFFF"/>
          </w:tcPr>
          <w:p w:rsidR="00CE6089" w:rsidRPr="00D60C29" w:rsidRDefault="00CE6089" w:rsidP="004749D1">
            <w:pPr>
              <w:rPr>
                <w:b/>
                <w:bCs/>
                <w:color w:val="1F497D" w:themeColor="text2"/>
                <w:sz w:val="20"/>
                <w:szCs w:val="20"/>
              </w:rPr>
            </w:pPr>
            <w:r w:rsidRPr="00D60C29">
              <w:rPr>
                <w:i/>
                <w:color w:val="1F497D" w:themeColor="text2"/>
                <w:sz w:val="20"/>
                <w:szCs w:val="20"/>
              </w:rPr>
              <w:lastRenderedPageBreak/>
              <w:t>Ngāti Whare</w:t>
            </w:r>
          </w:p>
        </w:tc>
        <w:tc>
          <w:tcPr>
            <w:tcW w:w="2454" w:type="pct"/>
            <w:shd w:val="clear" w:color="auto" w:fill="FFFFFF"/>
          </w:tcPr>
          <w:p w:rsidR="00CE6089" w:rsidRPr="00D60C29" w:rsidRDefault="00CE6089" w:rsidP="004749D1">
            <w:pPr>
              <w:rPr>
                <w:color w:val="1F497D" w:themeColor="text2"/>
                <w:sz w:val="20"/>
                <w:szCs w:val="20"/>
              </w:rPr>
            </w:pPr>
            <w:r w:rsidRPr="00D60C29">
              <w:rPr>
                <w:color w:val="1F497D" w:themeColor="text2"/>
                <w:sz w:val="20"/>
                <w:szCs w:val="20"/>
              </w:rPr>
              <w:t xml:space="preserve">Engagement with the General Manager to debrief on the Civil Defence Response project and to update on the Recovery Project </w:t>
            </w:r>
          </w:p>
          <w:p w:rsidR="00CE6089" w:rsidRPr="00D60C29" w:rsidRDefault="00CE6089" w:rsidP="004749D1">
            <w:pPr>
              <w:rPr>
                <w:color w:val="1F497D" w:themeColor="text2"/>
                <w:sz w:val="20"/>
                <w:szCs w:val="20"/>
              </w:rPr>
            </w:pPr>
            <w:r w:rsidRPr="00D60C29">
              <w:rPr>
                <w:color w:val="1F497D" w:themeColor="text2"/>
                <w:sz w:val="20"/>
                <w:szCs w:val="20"/>
              </w:rPr>
              <w:t>Significant intelligence received from Ngāti Whare regarding affected properties, farming businesses, and roads within the</w:t>
            </w:r>
            <w:r w:rsidR="00D60C29">
              <w:rPr>
                <w:color w:val="1F497D" w:themeColor="text2"/>
                <w:sz w:val="20"/>
                <w:szCs w:val="20"/>
              </w:rPr>
              <w:t>ir rohe.</w:t>
            </w:r>
          </w:p>
          <w:p w:rsidR="00CE6089" w:rsidRPr="00D60C29" w:rsidRDefault="00CE6089" w:rsidP="004749D1">
            <w:pPr>
              <w:rPr>
                <w:color w:val="1F497D" w:themeColor="text2"/>
                <w:sz w:val="20"/>
                <w:szCs w:val="20"/>
              </w:rPr>
            </w:pPr>
            <w:r w:rsidRPr="00D60C29">
              <w:rPr>
                <w:color w:val="1F497D" w:themeColor="text2"/>
                <w:sz w:val="20"/>
                <w:szCs w:val="20"/>
              </w:rPr>
              <w:t>The Recovery Team has engaged directly with these affected interests to identify Recovery support needs.</w:t>
            </w:r>
          </w:p>
          <w:p w:rsidR="00CE6089" w:rsidRPr="00D60C29" w:rsidRDefault="00CE6089" w:rsidP="004749D1">
            <w:pPr>
              <w:rPr>
                <w:color w:val="1F497D" w:themeColor="text2"/>
                <w:sz w:val="20"/>
                <w:szCs w:val="20"/>
              </w:rPr>
            </w:pPr>
            <w:r w:rsidRPr="00D60C29">
              <w:rPr>
                <w:color w:val="1F497D" w:themeColor="text2"/>
                <w:sz w:val="20"/>
                <w:szCs w:val="20"/>
              </w:rPr>
              <w:t xml:space="preserve">Roading is the main area of concern for this area of the District with State Highway 38 being severely damaged from the cyclone. The Recovery Team and the Roading Team are engaging with Ngāti Whare fortnightly to discuss updates and related issues on State Highway 38 remedial work. </w:t>
            </w:r>
            <w:proofErr w:type="gramStart"/>
            <w:r w:rsidRPr="00D60C29">
              <w:rPr>
                <w:color w:val="1F497D" w:themeColor="text2"/>
                <w:sz w:val="20"/>
                <w:szCs w:val="20"/>
              </w:rPr>
              <w:t>These hui</w:t>
            </w:r>
            <w:proofErr w:type="gramEnd"/>
            <w:r w:rsidRPr="00D60C29">
              <w:rPr>
                <w:color w:val="1F497D" w:themeColor="text2"/>
                <w:sz w:val="20"/>
                <w:szCs w:val="20"/>
              </w:rPr>
              <w:t xml:space="preserve"> continued until regulated public access to the Highway commenced in mid-June, and will then become monthly until full roading access is achieved.</w:t>
            </w:r>
          </w:p>
          <w:p w:rsidR="00CE6089" w:rsidRPr="00D60C29" w:rsidRDefault="00CE6089" w:rsidP="004749D1">
            <w:pPr>
              <w:rPr>
                <w:color w:val="1F497D" w:themeColor="text2"/>
                <w:sz w:val="20"/>
                <w:szCs w:val="20"/>
              </w:rPr>
            </w:pPr>
            <w:r w:rsidRPr="00D60C29">
              <w:rPr>
                <w:color w:val="1F497D" w:themeColor="text2"/>
                <w:sz w:val="20"/>
                <w:szCs w:val="20"/>
              </w:rPr>
              <w:t>Weekly Recovery updates provided.</w:t>
            </w:r>
          </w:p>
        </w:tc>
        <w:tc>
          <w:tcPr>
            <w:tcW w:w="1797" w:type="pct"/>
            <w:shd w:val="clear" w:color="auto" w:fill="FFFFFF"/>
          </w:tcPr>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 xml:space="preserve">Descendants of </w:t>
            </w:r>
            <w:r w:rsidR="00D60C29">
              <w:rPr>
                <w:color w:val="1F497D" w:themeColor="text2"/>
                <w:sz w:val="20"/>
                <w:szCs w:val="20"/>
              </w:rPr>
              <w:t>Mataatua</w:t>
            </w:r>
            <w:r w:rsidRPr="00D60C29">
              <w:rPr>
                <w:color w:val="1F497D" w:themeColor="text2"/>
                <w:sz w:val="20"/>
                <w:szCs w:val="20"/>
              </w:rPr>
              <w:t xml:space="preserve"> Waka</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1,254 people affiliate as being of Ngāti Whare descent</w:t>
            </w:r>
          </w:p>
          <w:p w:rsidR="00CE6089" w:rsidRPr="00D60C29" w:rsidRDefault="00CE6089" w:rsidP="00CE6089">
            <w:pPr>
              <w:pStyle w:val="ListParagraph"/>
              <w:numPr>
                <w:ilvl w:val="0"/>
                <w:numId w:val="7"/>
              </w:numPr>
              <w:ind w:left="175" w:hanging="142"/>
              <w:rPr>
                <w:color w:val="1F497D" w:themeColor="text2"/>
                <w:sz w:val="20"/>
                <w:szCs w:val="20"/>
              </w:rPr>
            </w:pPr>
            <w:r w:rsidRPr="00D60C29">
              <w:rPr>
                <w:color w:val="1F497D" w:themeColor="text2"/>
                <w:sz w:val="20"/>
                <w:szCs w:val="20"/>
              </w:rPr>
              <w:t>52.3% of Ngāti Whare members live in the Bay of Plenty region</w:t>
            </w:r>
          </w:p>
          <w:p w:rsidR="00CE6089" w:rsidRPr="00D60C29" w:rsidRDefault="00CE6089" w:rsidP="00CE6089">
            <w:pPr>
              <w:pStyle w:val="ListParagraph"/>
              <w:ind w:left="175" w:hanging="142"/>
              <w:rPr>
                <w:color w:val="1F497D" w:themeColor="text2"/>
                <w:sz w:val="20"/>
                <w:szCs w:val="20"/>
              </w:rPr>
            </w:pPr>
          </w:p>
        </w:tc>
      </w:tr>
    </w:tbl>
    <w:p w:rsidR="000715A6" w:rsidRDefault="000715A6" w:rsidP="00E30C31"/>
    <w:p w:rsidR="00E30C31" w:rsidRPr="009C519C" w:rsidRDefault="00E30C31" w:rsidP="00E30C31">
      <w:r>
        <w:t xml:space="preserve">There are a number of forums that assist with </w:t>
      </w:r>
      <w:r w:rsidR="000715A6">
        <w:t>I</w:t>
      </w:r>
      <w:r>
        <w:t>wi engagement during the recovery process.</w:t>
      </w:r>
      <w:r w:rsidR="000715A6">
        <w:t xml:space="preserve">  These are described below.   </w:t>
      </w:r>
    </w:p>
    <w:tbl>
      <w:tblPr>
        <w:tblW w:w="936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97"/>
        <w:gridCol w:w="7771"/>
      </w:tblGrid>
      <w:tr w:rsidR="00D60C29" w:rsidRPr="00D60C29" w:rsidTr="00041BC9">
        <w:trPr>
          <w:trHeight w:val="144"/>
          <w:tblHeader/>
        </w:trPr>
        <w:tc>
          <w:tcPr>
            <w:tcW w:w="1597" w:type="dxa"/>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vAlign w:val="center"/>
            <w:hideMark/>
          </w:tcPr>
          <w:p w:rsidR="00E30C31" w:rsidRPr="00D60C29" w:rsidRDefault="00E30C31" w:rsidP="00041BC9">
            <w:pPr>
              <w:jc w:val="center"/>
              <w:rPr>
                <w:b/>
                <w:bCs/>
                <w:color w:val="FFFFFF" w:themeColor="background1"/>
                <w:sz w:val="20"/>
                <w:szCs w:val="20"/>
              </w:rPr>
            </w:pPr>
            <w:r w:rsidRPr="00D60C29">
              <w:rPr>
                <w:b/>
                <w:bCs/>
                <w:color w:val="FFFFFF" w:themeColor="background1"/>
                <w:sz w:val="20"/>
                <w:szCs w:val="20"/>
              </w:rPr>
              <w:t>Key Stakeholder Interest</w:t>
            </w:r>
          </w:p>
        </w:tc>
        <w:tc>
          <w:tcPr>
            <w:tcW w:w="7771" w:type="dxa"/>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vAlign w:val="center"/>
            <w:hideMark/>
          </w:tcPr>
          <w:p w:rsidR="00E30C31" w:rsidRPr="00D60C29" w:rsidRDefault="00E30C31" w:rsidP="00041BC9">
            <w:pPr>
              <w:jc w:val="center"/>
              <w:rPr>
                <w:b/>
                <w:bCs/>
                <w:color w:val="FFFFFF" w:themeColor="background1"/>
                <w:sz w:val="20"/>
                <w:szCs w:val="20"/>
              </w:rPr>
            </w:pPr>
            <w:r w:rsidRPr="00D60C29">
              <w:rPr>
                <w:b/>
                <w:bCs/>
                <w:color w:val="FFFFFF" w:themeColor="background1"/>
                <w:sz w:val="20"/>
                <w:szCs w:val="20"/>
              </w:rPr>
              <w:t>How Stakeholder</w:t>
            </w:r>
            <w:r w:rsidR="00946441" w:rsidRPr="00D60C29">
              <w:rPr>
                <w:b/>
                <w:bCs/>
                <w:color w:val="FFFFFF" w:themeColor="background1"/>
                <w:sz w:val="20"/>
                <w:szCs w:val="20"/>
              </w:rPr>
              <w:t>s</w:t>
            </w:r>
            <w:r w:rsidRPr="00D60C29">
              <w:rPr>
                <w:b/>
                <w:bCs/>
                <w:color w:val="FFFFFF" w:themeColor="background1"/>
                <w:sz w:val="20"/>
                <w:szCs w:val="20"/>
              </w:rPr>
              <w:t xml:space="preserve"> can impact Iwi Engagement for the Recovery Project</w:t>
            </w:r>
          </w:p>
        </w:tc>
      </w:tr>
      <w:tr w:rsidR="00E30C31" w:rsidRPr="00F412D8" w:rsidTr="00041BC9">
        <w:trPr>
          <w:trHeight w:val="144"/>
        </w:trPr>
        <w:tc>
          <w:tcPr>
            <w:tcW w:w="1597" w:type="dxa"/>
            <w:shd w:val="clear" w:color="auto" w:fill="FFFFFF"/>
            <w:hideMark/>
          </w:tcPr>
          <w:p w:rsidR="00E30C31" w:rsidRPr="00D60C29" w:rsidRDefault="00E30C31" w:rsidP="004749D1">
            <w:pPr>
              <w:rPr>
                <w:b/>
                <w:bCs/>
                <w:color w:val="1F497D" w:themeColor="text2"/>
                <w:sz w:val="20"/>
                <w:szCs w:val="20"/>
              </w:rPr>
            </w:pPr>
            <w:r w:rsidRPr="00D60C29">
              <w:rPr>
                <w:i/>
                <w:color w:val="1F497D" w:themeColor="text2"/>
                <w:sz w:val="20"/>
                <w:szCs w:val="20"/>
              </w:rPr>
              <w:t>Rangitāiki River Forum</w:t>
            </w:r>
          </w:p>
        </w:tc>
        <w:tc>
          <w:tcPr>
            <w:tcW w:w="7771" w:type="dxa"/>
            <w:shd w:val="clear" w:color="auto" w:fill="FFFFFF"/>
          </w:tcPr>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Formed in May 2012 the Rangitāiki River Forum was established by law to protect and enhance the Mauri (giving life) of the Rangitāiki River and its tributaries</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Main purpose of the Forum is the protection and enhancement of the environment, cultural, and spiritual health and wellbeing of the Rangitāiki River and its resources for the benefit of present and future generations</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The forum is a co-governance partnership made up of representatives from Ngāti Whare, Ngāti Manawa, Ngāti Awa, Tūwharetoa (BOP), as well as councillors from BOPRC and WDC</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The Recovery Team has delivered a presentation to the Forum outlining the projects key objectives and how we can partner together to achieve these outcomes</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The Civil Defence event impacted on the health and wellbeing of the Rangitāiki River and how it can sustain whānau for the future. This is significant for the Forum and for Iwi in general when it comes to their relationships with awa as kaitiaki (guardians)</w:t>
            </w:r>
          </w:p>
        </w:tc>
      </w:tr>
      <w:tr w:rsidR="00E30C31" w:rsidRPr="00F412D8" w:rsidTr="00041BC9">
        <w:trPr>
          <w:cantSplit/>
          <w:trHeight w:val="2774"/>
        </w:trPr>
        <w:tc>
          <w:tcPr>
            <w:tcW w:w="1597" w:type="dxa"/>
            <w:shd w:val="clear" w:color="auto" w:fill="FFFFFF"/>
            <w:hideMark/>
          </w:tcPr>
          <w:p w:rsidR="00E30C31" w:rsidRPr="00D60C29" w:rsidRDefault="00E30C31" w:rsidP="004749D1">
            <w:pPr>
              <w:rPr>
                <w:b/>
                <w:bCs/>
                <w:color w:val="1F497D" w:themeColor="text2"/>
                <w:sz w:val="20"/>
                <w:szCs w:val="20"/>
              </w:rPr>
            </w:pPr>
            <w:r w:rsidRPr="00D60C29">
              <w:rPr>
                <w:i/>
                <w:color w:val="1F497D" w:themeColor="text2"/>
                <w:sz w:val="20"/>
                <w:szCs w:val="20"/>
              </w:rPr>
              <w:lastRenderedPageBreak/>
              <w:t>Komiti Māori – Bay of Plenty Regional Council</w:t>
            </w:r>
          </w:p>
        </w:tc>
        <w:tc>
          <w:tcPr>
            <w:tcW w:w="7771" w:type="dxa"/>
            <w:shd w:val="clear" w:color="auto" w:fill="FFFFFF"/>
          </w:tcPr>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Primary function is to set the operational direction for Council’s legislative obligations to Māori and to monitor how these obligations are implemented</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Report and presentation from the Whakatāne District Recovery Project to Komiti Māori has been delivered to update on the current Civil Defence Recovery situation and how the Recovery Team plans to achieve the designated outcomes</w:t>
            </w:r>
          </w:p>
          <w:p w:rsidR="00E30C31" w:rsidRPr="00D60C29" w:rsidRDefault="00E30C31" w:rsidP="00B14389">
            <w:pPr>
              <w:pStyle w:val="ListParagraph"/>
              <w:numPr>
                <w:ilvl w:val="0"/>
                <w:numId w:val="7"/>
              </w:numPr>
              <w:ind w:left="306" w:hanging="218"/>
              <w:rPr>
                <w:color w:val="1F497D" w:themeColor="text2"/>
                <w:sz w:val="20"/>
                <w:szCs w:val="20"/>
              </w:rPr>
            </w:pPr>
            <w:r w:rsidRPr="00D60C29">
              <w:rPr>
                <w:color w:val="1F497D" w:themeColor="text2"/>
                <w:sz w:val="20"/>
                <w:szCs w:val="20"/>
              </w:rPr>
              <w:t>The Recovery Project has a key focus on restoration of the natural environment which aligns directly to BOPRC’s Environmental Protection community outcome, this alignment underlies how Komiti Māori and the Recovery Project can potentially work together at a strategic level</w:t>
            </w:r>
          </w:p>
        </w:tc>
      </w:tr>
      <w:tr w:rsidR="00E30C31" w:rsidRPr="00F412D8" w:rsidTr="00041BC9">
        <w:trPr>
          <w:trHeight w:val="3614"/>
        </w:trPr>
        <w:tc>
          <w:tcPr>
            <w:tcW w:w="1597" w:type="dxa"/>
            <w:shd w:val="clear" w:color="auto" w:fill="FFFFFF"/>
          </w:tcPr>
          <w:p w:rsidR="00E30C31" w:rsidRPr="00041BC9" w:rsidRDefault="00E30C31" w:rsidP="004749D1">
            <w:pPr>
              <w:rPr>
                <w:b/>
                <w:bCs/>
                <w:color w:val="1F497D" w:themeColor="text2"/>
                <w:sz w:val="20"/>
                <w:szCs w:val="20"/>
              </w:rPr>
            </w:pPr>
            <w:r w:rsidRPr="00041BC9">
              <w:rPr>
                <w:i/>
                <w:color w:val="1F497D" w:themeColor="text2"/>
                <w:sz w:val="20"/>
                <w:szCs w:val="20"/>
              </w:rPr>
              <w:t xml:space="preserve">Te Puni </w:t>
            </w:r>
            <w:r w:rsidR="00041BC9">
              <w:rPr>
                <w:i/>
                <w:color w:val="1F497D" w:themeColor="text2"/>
                <w:sz w:val="20"/>
                <w:szCs w:val="20"/>
              </w:rPr>
              <w:t>Kōkiri</w:t>
            </w:r>
            <w:r w:rsidRPr="00041BC9">
              <w:rPr>
                <w:i/>
                <w:color w:val="1F497D" w:themeColor="text2"/>
                <w:sz w:val="20"/>
                <w:szCs w:val="20"/>
              </w:rPr>
              <w:t xml:space="preserve"> – Ministry of Māori Development</w:t>
            </w:r>
          </w:p>
        </w:tc>
        <w:tc>
          <w:tcPr>
            <w:tcW w:w="7771" w:type="dxa"/>
            <w:shd w:val="clear" w:color="auto" w:fill="FFFFFF"/>
          </w:tcPr>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Central government agency with a Vision of “Iwi, Hapū, and Whānau Māori succeeding as Māori”</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 xml:space="preserve">Under Te Puni </w:t>
            </w:r>
            <w:r w:rsidR="00041BC9">
              <w:rPr>
                <w:color w:val="1F497D" w:themeColor="text2"/>
                <w:sz w:val="20"/>
                <w:szCs w:val="20"/>
              </w:rPr>
              <w:t>Kōkiri</w:t>
            </w:r>
            <w:r w:rsidRPr="00041BC9">
              <w:rPr>
                <w:color w:val="1F497D" w:themeColor="text2"/>
                <w:sz w:val="20"/>
                <w:szCs w:val="20"/>
              </w:rPr>
              <w:t>’s (TPK) “Whanaungatanga” outcome area - Crown and Iwi experiencing genuine engagement and productive, enduring relationships; there is a direct alignment with TPK’s engagement with Iwi and how the Recovery Project seeks to do so also under the “Pononga” principle of engagement</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TPK had direct involvement during the Civil Defence Response phase in the Emergency Operating Centre through the welfare work stream utilising Iwi engagement intelligence</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 xml:space="preserve">Te Puni </w:t>
            </w:r>
            <w:r w:rsidR="00041BC9">
              <w:rPr>
                <w:color w:val="1F497D" w:themeColor="text2"/>
                <w:sz w:val="20"/>
                <w:szCs w:val="20"/>
              </w:rPr>
              <w:t>Kōkiri</w:t>
            </w:r>
            <w:r w:rsidRPr="00041BC9">
              <w:rPr>
                <w:color w:val="1F497D" w:themeColor="text2"/>
                <w:sz w:val="20"/>
                <w:szCs w:val="20"/>
              </w:rPr>
              <w:t xml:space="preserve"> have established relationships and investments with Iwi in the Whakatāne District and this can be an opportunity for the Recovery Project to align with these activities to achieve designated outcomes through Iwi engagement planning and strategies</w:t>
            </w:r>
          </w:p>
        </w:tc>
      </w:tr>
      <w:tr w:rsidR="00E30C31" w:rsidRPr="00F412D8" w:rsidTr="00041BC9">
        <w:trPr>
          <w:trHeight w:val="3048"/>
        </w:trPr>
        <w:tc>
          <w:tcPr>
            <w:tcW w:w="1597" w:type="dxa"/>
            <w:shd w:val="clear" w:color="auto" w:fill="FFFFFF"/>
          </w:tcPr>
          <w:p w:rsidR="00E30C31" w:rsidRPr="00041BC9" w:rsidRDefault="00E30C31" w:rsidP="004749D1">
            <w:pPr>
              <w:rPr>
                <w:b/>
                <w:bCs/>
                <w:color w:val="1F497D" w:themeColor="text2"/>
                <w:sz w:val="20"/>
                <w:szCs w:val="20"/>
              </w:rPr>
            </w:pPr>
            <w:r w:rsidRPr="00041BC9">
              <w:rPr>
                <w:i/>
                <w:color w:val="1F497D" w:themeColor="text2"/>
                <w:sz w:val="20"/>
                <w:szCs w:val="20"/>
              </w:rPr>
              <w:t>Iwi Chairs Forum – Whakatāne District Council</w:t>
            </w:r>
          </w:p>
        </w:tc>
        <w:tc>
          <w:tcPr>
            <w:tcW w:w="7771" w:type="dxa"/>
            <w:shd w:val="clear" w:color="auto" w:fill="FFFFFF"/>
          </w:tcPr>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Forum established through Whakatāne District Council to enable strategic issues of mutual interest between Council and Iwi to be discussed, and to realise opportunities for integration and coordination</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Iwi Chairs Forum membership involves the Chairs and the CEOs of each Iwi interest within the Whakatāne District and the Forum requires direct discussions and dialogue with Whakatāne District Council leadership including the Mayor and the Chief Executive Officer</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The Whakatāne District Recovery Project has presented to the Forum and provided an update on the current status of the identified outcomes and how the Project Team seeks to achieve these goals in partnership with Iwi</w:t>
            </w:r>
          </w:p>
        </w:tc>
      </w:tr>
      <w:tr w:rsidR="00E30C31" w:rsidRPr="00F412D8" w:rsidTr="00041BC9">
        <w:trPr>
          <w:trHeight w:val="3341"/>
        </w:trPr>
        <w:tc>
          <w:tcPr>
            <w:tcW w:w="1597" w:type="dxa"/>
            <w:shd w:val="clear" w:color="auto" w:fill="FFFFFF"/>
          </w:tcPr>
          <w:p w:rsidR="00E30C31" w:rsidRPr="00041BC9" w:rsidRDefault="00E30C31" w:rsidP="004749D1">
            <w:pPr>
              <w:rPr>
                <w:i/>
                <w:color w:val="1F497D" w:themeColor="text2"/>
                <w:sz w:val="20"/>
                <w:szCs w:val="20"/>
              </w:rPr>
            </w:pPr>
            <w:r w:rsidRPr="00041BC9">
              <w:rPr>
                <w:i/>
                <w:color w:val="1F497D" w:themeColor="text2"/>
                <w:sz w:val="20"/>
                <w:szCs w:val="20"/>
              </w:rPr>
              <w:t>Ministry of Civil Defence</w:t>
            </w:r>
          </w:p>
        </w:tc>
        <w:tc>
          <w:tcPr>
            <w:tcW w:w="7771" w:type="dxa"/>
            <w:shd w:val="clear" w:color="auto" w:fill="FFFFFF"/>
          </w:tcPr>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Regular contact has been made with the Civil Defence Māori Engagement Liaison who facilitated the debrief activities with Māori communities post-Response phase on behalf of the Ministry of Civil Defence</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The intelligence gathered by the Māori Liaison will assist the Recovery Team with targeting Maori communities and organisations that sit ‘outside’ Iwi operations and activities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Recovery Team has supported the Civil Defence Māori Liaison with intelligence and information relating to Iwi Authority involvement in both the Civil Defence Response and Recovery programmes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Regular and ongoing engagement between Recovery Team and Civil Defence personnel to be maintained throughout</w:t>
            </w:r>
          </w:p>
        </w:tc>
      </w:tr>
      <w:tr w:rsidR="00E30C31" w:rsidRPr="00F412D8" w:rsidTr="00041BC9">
        <w:trPr>
          <w:cantSplit/>
          <w:trHeight w:val="4180"/>
        </w:trPr>
        <w:tc>
          <w:tcPr>
            <w:tcW w:w="1597" w:type="dxa"/>
            <w:shd w:val="clear" w:color="auto" w:fill="FFFFFF"/>
          </w:tcPr>
          <w:p w:rsidR="00E30C31" w:rsidRPr="00041BC9" w:rsidRDefault="00E30C31" w:rsidP="004749D1">
            <w:pPr>
              <w:rPr>
                <w:b/>
                <w:bCs/>
                <w:color w:val="1F497D" w:themeColor="text2"/>
                <w:sz w:val="20"/>
                <w:szCs w:val="20"/>
              </w:rPr>
            </w:pPr>
            <w:r w:rsidRPr="00041BC9">
              <w:rPr>
                <w:i/>
                <w:color w:val="1F497D" w:themeColor="text2"/>
                <w:sz w:val="20"/>
                <w:szCs w:val="20"/>
              </w:rPr>
              <w:lastRenderedPageBreak/>
              <w:t>Ngāti Awa affiliated organisations</w:t>
            </w:r>
          </w:p>
        </w:tc>
        <w:tc>
          <w:tcPr>
            <w:tcW w:w="7771" w:type="dxa"/>
            <w:shd w:val="clear" w:color="auto" w:fill="FFFFFF"/>
          </w:tcPr>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Ngāti Awa Social &amp; Health Services (NASH) and Ngāti Awa Volunteer Army (NAVA) have both been prominent contributors and support organisations throughout the Civil Defence Response and Recovery projects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NAVA was established and implemented during the Response phase operations focussing on efforts in Edgecumbe and other surrounding areas affected by the floods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NAVA’s specific activities included providing cultural and spiritual support to affected property owners and tenants in Edgecumbe, cleaning up properties and households in Edgecumbe, and strategic input into activities and intelligence within the Civil Defence Emergency Operating Centre (EOC). They continue to work in partnership with the Recovery team to rebuild Edgecumbe through the “Liveable Homes” project and other related activities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NASH was crucial in providing Health and Social services support during the Civil Defence Response phase and beyond, particularly in the Civil Defence Welfare Centres with Edgecumbe residents</w:t>
            </w:r>
          </w:p>
        </w:tc>
      </w:tr>
      <w:tr w:rsidR="00E30C31" w:rsidRPr="00F412D8" w:rsidTr="00041BC9">
        <w:trPr>
          <w:trHeight w:val="2774"/>
        </w:trPr>
        <w:tc>
          <w:tcPr>
            <w:tcW w:w="1597" w:type="dxa"/>
            <w:shd w:val="clear" w:color="auto" w:fill="FFFFFF"/>
          </w:tcPr>
          <w:p w:rsidR="00E30C31" w:rsidRPr="00041BC9" w:rsidRDefault="00E30C31" w:rsidP="004749D1">
            <w:pPr>
              <w:rPr>
                <w:i/>
                <w:color w:val="1F497D" w:themeColor="text2"/>
                <w:sz w:val="20"/>
                <w:szCs w:val="20"/>
              </w:rPr>
            </w:pPr>
            <w:r w:rsidRPr="00041BC9">
              <w:rPr>
                <w:i/>
                <w:color w:val="1F497D" w:themeColor="text2"/>
                <w:sz w:val="20"/>
                <w:szCs w:val="20"/>
              </w:rPr>
              <w:t>Māori Investments Limited</w:t>
            </w:r>
          </w:p>
        </w:tc>
        <w:tc>
          <w:tcPr>
            <w:tcW w:w="7771" w:type="dxa"/>
            <w:shd w:val="clear" w:color="auto" w:fill="FFFFFF"/>
          </w:tcPr>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 xml:space="preserve">Māori Investments Limited is a company located in Kawerau </w:t>
            </w:r>
            <w:r w:rsidR="00946441" w:rsidRPr="00041BC9">
              <w:rPr>
                <w:color w:val="1F497D" w:themeColor="text2"/>
                <w:sz w:val="20"/>
                <w:szCs w:val="20"/>
              </w:rPr>
              <w:t>that</w:t>
            </w:r>
            <w:r w:rsidRPr="00041BC9">
              <w:rPr>
                <w:color w:val="1F497D" w:themeColor="text2"/>
                <w:sz w:val="20"/>
                <w:szCs w:val="20"/>
              </w:rPr>
              <w:t xml:space="preserve"> own</w:t>
            </w:r>
            <w:r w:rsidR="00946441" w:rsidRPr="00041BC9">
              <w:rPr>
                <w:color w:val="1F497D" w:themeColor="text2"/>
                <w:sz w:val="20"/>
                <w:szCs w:val="20"/>
              </w:rPr>
              <w:t>s</w:t>
            </w:r>
            <w:r w:rsidRPr="00041BC9">
              <w:rPr>
                <w:color w:val="1F497D" w:themeColor="text2"/>
                <w:sz w:val="20"/>
                <w:szCs w:val="20"/>
              </w:rPr>
              <w:t xml:space="preserve"> significant land interests and look after their shareholders’ investments predominantly through Forestry operations</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 xml:space="preserve">Engagement was held with Māori Investments Limited to facilitate the sharing of information pertaining to shareholders who were directly affected by the flooding in Edgecumbe </w:t>
            </w:r>
          </w:p>
          <w:p w:rsidR="00E30C31" w:rsidRPr="00041BC9" w:rsidRDefault="00E30C31" w:rsidP="00B14389">
            <w:pPr>
              <w:pStyle w:val="ListParagraph"/>
              <w:numPr>
                <w:ilvl w:val="0"/>
                <w:numId w:val="7"/>
              </w:numPr>
              <w:ind w:left="306" w:hanging="218"/>
              <w:rPr>
                <w:color w:val="1F497D" w:themeColor="text2"/>
                <w:sz w:val="20"/>
                <w:szCs w:val="20"/>
              </w:rPr>
            </w:pPr>
            <w:r w:rsidRPr="00041BC9">
              <w:rPr>
                <w:color w:val="1F497D" w:themeColor="text2"/>
                <w:sz w:val="20"/>
                <w:szCs w:val="20"/>
              </w:rPr>
              <w:t>The Recovery Team shared strategic information to ensure Māori Investments Limited had the necessary information relating to these properties to facilitate investments assisting with required remedial work</w:t>
            </w:r>
          </w:p>
        </w:tc>
      </w:tr>
    </w:tbl>
    <w:p w:rsidR="00E30C31" w:rsidRDefault="00E30C31" w:rsidP="00E30C31">
      <w:pPr>
        <w:rPr>
          <w:b/>
          <w:sz w:val="36"/>
          <w:szCs w:val="36"/>
        </w:rPr>
      </w:pPr>
      <w:r>
        <w:rPr>
          <w:b/>
          <w:sz w:val="36"/>
          <w:szCs w:val="36"/>
        </w:rPr>
        <w:br w:type="page"/>
      </w:r>
    </w:p>
    <w:p w:rsidR="00E30C31" w:rsidRDefault="00E30C31" w:rsidP="00720D73">
      <w:pPr>
        <w:rPr>
          <w:b/>
          <w:sz w:val="36"/>
          <w:szCs w:val="36"/>
        </w:rPr>
        <w:sectPr w:rsidR="00E30C31" w:rsidSect="004749D1">
          <w:pgSz w:w="11907" w:h="16839" w:code="9"/>
          <w:pgMar w:top="1440" w:right="1440" w:bottom="1276" w:left="1440" w:header="708" w:footer="708" w:gutter="0"/>
          <w:cols w:space="708"/>
          <w:docGrid w:linePitch="360"/>
        </w:sectPr>
      </w:pPr>
    </w:p>
    <w:p w:rsidR="00720D73" w:rsidRPr="00041BC9" w:rsidRDefault="00720D73" w:rsidP="00720D73">
      <w:pPr>
        <w:rPr>
          <w:color w:val="1F497D" w:themeColor="text2"/>
          <w:sz w:val="28"/>
          <w:szCs w:val="28"/>
        </w:rPr>
      </w:pPr>
      <w:r w:rsidRPr="00041BC9">
        <w:rPr>
          <w:b/>
          <w:color w:val="1F497D" w:themeColor="text2"/>
          <w:sz w:val="36"/>
          <w:szCs w:val="36"/>
        </w:rPr>
        <w:lastRenderedPageBreak/>
        <w:t>Appendix I:  Iwi Contacts List: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64"/>
        <w:gridCol w:w="7247"/>
      </w:tblGrid>
      <w:tr w:rsidR="00041BC9" w:rsidRPr="00041BC9" w:rsidTr="00041BC9">
        <w:trPr>
          <w:tblHeader/>
        </w:trPr>
        <w:tc>
          <w:tcPr>
            <w:tcW w:w="979" w:type="pct"/>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720D73" w:rsidRPr="00041BC9" w:rsidRDefault="00720D73" w:rsidP="004749D1">
            <w:pPr>
              <w:jc w:val="center"/>
              <w:rPr>
                <w:b/>
                <w:bCs/>
                <w:color w:val="FFFFFF" w:themeColor="background1"/>
              </w:rPr>
            </w:pPr>
            <w:r w:rsidRPr="00041BC9">
              <w:rPr>
                <w:b/>
                <w:bCs/>
                <w:color w:val="FFFFFF" w:themeColor="background1"/>
              </w:rPr>
              <w:t>Iwi Interest</w:t>
            </w:r>
          </w:p>
        </w:tc>
        <w:tc>
          <w:tcPr>
            <w:tcW w:w="4021" w:type="pct"/>
            <w:tcBorders>
              <w:top w:val="single" w:sz="6" w:space="0" w:color="000000"/>
              <w:left w:val="single" w:sz="6" w:space="0" w:color="000000"/>
              <w:bottom w:val="single" w:sz="6" w:space="0" w:color="000000"/>
              <w:right w:val="single" w:sz="6" w:space="0" w:color="000000"/>
              <w:tl2br w:val="nil"/>
              <w:tr2bl w:val="nil"/>
            </w:tcBorders>
            <w:shd w:val="clear" w:color="auto" w:fill="1F497D" w:themeFill="text2"/>
            <w:hideMark/>
          </w:tcPr>
          <w:p w:rsidR="00720D73" w:rsidRPr="00041BC9" w:rsidRDefault="00720D73" w:rsidP="004749D1">
            <w:pPr>
              <w:jc w:val="center"/>
              <w:rPr>
                <w:b/>
                <w:bCs/>
                <w:color w:val="FFFFFF" w:themeColor="background1"/>
              </w:rPr>
            </w:pPr>
            <w:r w:rsidRPr="00041BC9">
              <w:rPr>
                <w:b/>
                <w:bCs/>
                <w:color w:val="FFFFFF" w:themeColor="background1"/>
              </w:rPr>
              <w:t>Key Contact</w:t>
            </w:r>
          </w:p>
        </w:tc>
      </w:tr>
      <w:tr w:rsidR="00720D73" w:rsidRPr="00B7462E" w:rsidTr="00041BC9">
        <w:tc>
          <w:tcPr>
            <w:tcW w:w="979" w:type="pct"/>
            <w:shd w:val="clear" w:color="auto" w:fill="FFFFFF"/>
            <w:hideMark/>
          </w:tcPr>
          <w:p w:rsidR="00720D73" w:rsidRPr="00041BC9" w:rsidRDefault="00720D73" w:rsidP="004749D1">
            <w:pPr>
              <w:spacing w:line="240" w:lineRule="auto"/>
              <w:rPr>
                <w:b/>
                <w:bCs/>
                <w:color w:val="1F497D" w:themeColor="text2"/>
              </w:rPr>
            </w:pPr>
            <w:r w:rsidRPr="00041BC9">
              <w:rPr>
                <w:i/>
                <w:color w:val="1F497D" w:themeColor="text2"/>
              </w:rPr>
              <w:t>Ngāti Awa</w:t>
            </w:r>
          </w:p>
        </w:tc>
        <w:tc>
          <w:tcPr>
            <w:tcW w:w="4021" w:type="pct"/>
            <w:shd w:val="clear" w:color="auto" w:fill="FFFFFF"/>
          </w:tcPr>
          <w:p w:rsidR="00720D73" w:rsidRPr="00B7462E" w:rsidRDefault="00720D73" w:rsidP="004749D1">
            <w:pPr>
              <w:spacing w:line="240" w:lineRule="auto"/>
            </w:pPr>
            <w:r w:rsidRPr="00B7462E">
              <w:t>Leonie Simpson – CEO (Te Rūnanga o Ngāti Awa)</w:t>
            </w:r>
          </w:p>
          <w:p w:rsidR="00720D73" w:rsidRPr="00B7462E" w:rsidRDefault="00897D56" w:rsidP="004749D1">
            <w:pPr>
              <w:spacing w:line="240" w:lineRule="auto"/>
            </w:pPr>
            <w:hyperlink r:id="rId30" w:history="1">
              <w:r w:rsidR="00720D73" w:rsidRPr="00B7462E">
                <w:rPr>
                  <w:color w:val="0000FF"/>
                  <w:u w:val="single"/>
                </w:rPr>
                <w:t>Leonie@ngatiawa.iwi.nz</w:t>
              </w:r>
            </w:hyperlink>
          </w:p>
          <w:p w:rsidR="00720D73" w:rsidRPr="00B7462E" w:rsidRDefault="00720D73" w:rsidP="004749D1">
            <w:pPr>
              <w:spacing w:line="240" w:lineRule="auto"/>
            </w:pPr>
            <w:r w:rsidRPr="00B7462E">
              <w:t>021 242 3759</w:t>
            </w:r>
          </w:p>
          <w:p w:rsidR="00720D73" w:rsidRPr="00B7462E" w:rsidRDefault="00897D56" w:rsidP="004749D1">
            <w:pPr>
              <w:spacing w:line="240" w:lineRule="auto"/>
            </w:pPr>
            <w:hyperlink r:id="rId31" w:history="1">
              <w:r w:rsidR="00720D73" w:rsidRPr="00B7462E">
                <w:rPr>
                  <w:rStyle w:val="Hyperlink"/>
                </w:rPr>
                <w:t>www.ngatiawa.iwi.nz</w:t>
              </w:r>
            </w:hyperlink>
            <w:r w:rsidR="00720D73" w:rsidRPr="00B7462E">
              <w:t xml:space="preserve"> </w:t>
            </w:r>
          </w:p>
        </w:tc>
      </w:tr>
      <w:tr w:rsidR="00720D73" w:rsidRPr="00B7462E" w:rsidTr="00041BC9">
        <w:tc>
          <w:tcPr>
            <w:tcW w:w="979" w:type="pct"/>
            <w:shd w:val="clear" w:color="auto" w:fill="FFFFFF"/>
            <w:hideMark/>
          </w:tcPr>
          <w:p w:rsidR="00720D73" w:rsidRPr="00041BC9" w:rsidRDefault="00720D73" w:rsidP="004749D1">
            <w:pPr>
              <w:spacing w:line="240" w:lineRule="auto"/>
              <w:rPr>
                <w:b/>
                <w:bCs/>
                <w:color w:val="1F497D" w:themeColor="text2"/>
              </w:rPr>
            </w:pPr>
            <w:r w:rsidRPr="00041BC9">
              <w:rPr>
                <w:i/>
                <w:color w:val="1F497D" w:themeColor="text2"/>
              </w:rPr>
              <w:t>Ngāti Manawa</w:t>
            </w:r>
          </w:p>
        </w:tc>
        <w:tc>
          <w:tcPr>
            <w:tcW w:w="4021" w:type="pct"/>
            <w:shd w:val="clear" w:color="auto" w:fill="FFFFFF"/>
          </w:tcPr>
          <w:p w:rsidR="00720D73" w:rsidRPr="00B7462E" w:rsidRDefault="00720D73" w:rsidP="004749D1">
            <w:pPr>
              <w:spacing w:line="240" w:lineRule="auto"/>
            </w:pPr>
            <w:r w:rsidRPr="00B7462E">
              <w:t>Maramena Vercoe – General Manager (Te Rūnanga o Ngāti Manawa)</w:t>
            </w:r>
          </w:p>
          <w:p w:rsidR="00720D73" w:rsidRPr="00B7462E" w:rsidRDefault="00897D56" w:rsidP="004749D1">
            <w:pPr>
              <w:spacing w:line="240" w:lineRule="auto"/>
            </w:pPr>
            <w:hyperlink r:id="rId32" w:history="1">
              <w:r w:rsidR="00720D73" w:rsidRPr="00B7462E">
                <w:rPr>
                  <w:color w:val="0000FF"/>
                  <w:u w:val="single"/>
                </w:rPr>
                <w:t>maramena.vercoe@tronm.co.nz</w:t>
              </w:r>
            </w:hyperlink>
          </w:p>
          <w:p w:rsidR="00720D73" w:rsidRPr="00B7462E" w:rsidRDefault="00720D73" w:rsidP="004749D1">
            <w:pPr>
              <w:spacing w:line="240" w:lineRule="auto"/>
            </w:pPr>
            <w:r w:rsidRPr="00B7462E">
              <w:t>027 227 2582</w:t>
            </w:r>
          </w:p>
          <w:p w:rsidR="00720D73" w:rsidRPr="00B7462E" w:rsidRDefault="00897D56" w:rsidP="004749D1">
            <w:pPr>
              <w:spacing w:line="240" w:lineRule="auto"/>
            </w:pPr>
            <w:hyperlink r:id="rId33" w:history="1">
              <w:r w:rsidR="00720D73" w:rsidRPr="00B7462E">
                <w:rPr>
                  <w:rStyle w:val="Hyperlink"/>
                </w:rPr>
                <w:t>www.ngatimanawa.org</w:t>
              </w:r>
            </w:hyperlink>
            <w:r w:rsidR="00720D73" w:rsidRPr="00B7462E">
              <w:t xml:space="preserve"> </w:t>
            </w:r>
          </w:p>
        </w:tc>
      </w:tr>
      <w:tr w:rsidR="00720D73" w:rsidRPr="00B7462E" w:rsidTr="00041BC9">
        <w:tc>
          <w:tcPr>
            <w:tcW w:w="979" w:type="pct"/>
            <w:shd w:val="clear" w:color="auto" w:fill="FFFFFF"/>
            <w:hideMark/>
          </w:tcPr>
          <w:p w:rsidR="00720D73" w:rsidRPr="00041BC9" w:rsidRDefault="00720D73" w:rsidP="004749D1">
            <w:pPr>
              <w:spacing w:line="240" w:lineRule="auto"/>
              <w:rPr>
                <w:b/>
                <w:bCs/>
                <w:color w:val="1F497D" w:themeColor="text2"/>
              </w:rPr>
            </w:pPr>
            <w:r w:rsidRPr="00041BC9">
              <w:rPr>
                <w:i/>
                <w:color w:val="1F497D" w:themeColor="text2"/>
              </w:rPr>
              <w:t>Ngāti Rangitihi</w:t>
            </w:r>
            <w:r w:rsidRPr="00041BC9">
              <w:rPr>
                <w:b/>
                <w:bCs/>
                <w:color w:val="1F497D" w:themeColor="text2"/>
              </w:rPr>
              <w:t xml:space="preserve"> </w:t>
            </w:r>
          </w:p>
        </w:tc>
        <w:tc>
          <w:tcPr>
            <w:tcW w:w="4021" w:type="pct"/>
            <w:shd w:val="clear" w:color="auto" w:fill="FFFFFF"/>
          </w:tcPr>
          <w:p w:rsidR="00720D73" w:rsidRPr="00B7462E" w:rsidRDefault="00720D73" w:rsidP="004749D1">
            <w:pPr>
              <w:spacing w:line="240" w:lineRule="auto"/>
            </w:pPr>
            <w:r w:rsidRPr="00B7462E">
              <w:t>Alana Hunter – Manager (Te Mana o Ngāti Rangitihi Trust)</w:t>
            </w:r>
          </w:p>
          <w:p w:rsidR="00720D73" w:rsidRPr="00B7462E" w:rsidRDefault="00897D56" w:rsidP="004749D1">
            <w:pPr>
              <w:spacing w:line="240" w:lineRule="auto"/>
            </w:pPr>
            <w:hyperlink r:id="rId34" w:history="1">
              <w:r w:rsidR="00720D73" w:rsidRPr="00B7462E">
                <w:rPr>
                  <w:color w:val="0000FF"/>
                  <w:u w:val="single"/>
                </w:rPr>
                <w:t>administrator@ngatirangitihi.iwi.nz</w:t>
              </w:r>
            </w:hyperlink>
          </w:p>
          <w:p w:rsidR="00720D73" w:rsidRPr="00B7462E" w:rsidRDefault="00720D73" w:rsidP="004749D1">
            <w:pPr>
              <w:spacing w:line="240" w:lineRule="auto"/>
            </w:pPr>
            <w:r w:rsidRPr="00B7462E">
              <w:t>027 557 4453</w:t>
            </w:r>
          </w:p>
          <w:p w:rsidR="00720D73" w:rsidRPr="00B7462E" w:rsidRDefault="00897D56" w:rsidP="004749D1">
            <w:pPr>
              <w:spacing w:line="240" w:lineRule="auto"/>
            </w:pPr>
            <w:hyperlink r:id="rId35" w:history="1">
              <w:r w:rsidR="00720D73" w:rsidRPr="00B7462E">
                <w:rPr>
                  <w:rStyle w:val="Hyperlink"/>
                </w:rPr>
                <w:t>www.ngatirangitihi.iwi.nz</w:t>
              </w:r>
            </w:hyperlink>
            <w:r w:rsidR="00720D73" w:rsidRPr="00B7462E">
              <w:t xml:space="preserve"> </w:t>
            </w:r>
          </w:p>
        </w:tc>
      </w:tr>
      <w:tr w:rsidR="00720D73" w:rsidRPr="00B7462E" w:rsidTr="00041BC9">
        <w:tc>
          <w:tcPr>
            <w:tcW w:w="979" w:type="pct"/>
            <w:shd w:val="clear" w:color="auto" w:fill="FFFFFF"/>
            <w:hideMark/>
          </w:tcPr>
          <w:p w:rsidR="00720D73" w:rsidRPr="00041BC9" w:rsidRDefault="00720D73" w:rsidP="004749D1">
            <w:pPr>
              <w:spacing w:line="240" w:lineRule="auto"/>
              <w:rPr>
                <w:b/>
                <w:bCs/>
                <w:color w:val="1F497D" w:themeColor="text2"/>
              </w:rPr>
            </w:pPr>
            <w:r w:rsidRPr="00041BC9">
              <w:rPr>
                <w:i/>
                <w:color w:val="1F497D" w:themeColor="text2"/>
              </w:rPr>
              <w:t>Ngāti Whare</w:t>
            </w:r>
          </w:p>
        </w:tc>
        <w:tc>
          <w:tcPr>
            <w:tcW w:w="4021" w:type="pct"/>
            <w:shd w:val="clear" w:color="auto" w:fill="FFFFFF"/>
          </w:tcPr>
          <w:p w:rsidR="00720D73" w:rsidRPr="00B7462E" w:rsidRDefault="00720D73" w:rsidP="004749D1">
            <w:pPr>
              <w:spacing w:line="240" w:lineRule="auto"/>
            </w:pPr>
            <w:r w:rsidRPr="00B7462E">
              <w:t>Te Waiti Rangiwai – General Manager (Te Rūnanga o Ngāti Whare)</w:t>
            </w:r>
          </w:p>
          <w:p w:rsidR="00720D73" w:rsidRPr="00B7462E" w:rsidRDefault="00897D56" w:rsidP="004749D1">
            <w:pPr>
              <w:spacing w:line="240" w:lineRule="auto"/>
            </w:pPr>
            <w:hyperlink r:id="rId36" w:history="1">
              <w:r w:rsidR="00720D73" w:rsidRPr="00B7462E">
                <w:rPr>
                  <w:color w:val="0000FF"/>
                  <w:u w:val="single"/>
                </w:rPr>
                <w:t>te_waiti@ngatiwhare.iwi.nz</w:t>
              </w:r>
            </w:hyperlink>
          </w:p>
          <w:p w:rsidR="00720D73" w:rsidRPr="00B7462E" w:rsidRDefault="00720D73" w:rsidP="004749D1">
            <w:pPr>
              <w:spacing w:line="240" w:lineRule="auto"/>
            </w:pPr>
            <w:r w:rsidRPr="00B7462E">
              <w:t>021 245 7991</w:t>
            </w:r>
          </w:p>
          <w:p w:rsidR="00720D73" w:rsidRPr="00B7462E" w:rsidRDefault="00897D56" w:rsidP="004749D1">
            <w:pPr>
              <w:spacing w:line="240" w:lineRule="auto"/>
            </w:pPr>
            <w:hyperlink r:id="rId37" w:history="1">
              <w:r w:rsidR="00720D73" w:rsidRPr="00B7462E">
                <w:rPr>
                  <w:rStyle w:val="Hyperlink"/>
                </w:rPr>
                <w:t>www.ngatiwhare.iwi.nz</w:t>
              </w:r>
            </w:hyperlink>
            <w:r w:rsidR="00720D73" w:rsidRPr="00B7462E">
              <w:t xml:space="preserve"> </w:t>
            </w:r>
          </w:p>
        </w:tc>
      </w:tr>
      <w:tr w:rsidR="00720D73" w:rsidRPr="00B7462E" w:rsidTr="00041BC9">
        <w:tc>
          <w:tcPr>
            <w:tcW w:w="979" w:type="pct"/>
            <w:shd w:val="clear" w:color="auto" w:fill="FFFFFF"/>
            <w:hideMark/>
          </w:tcPr>
          <w:p w:rsidR="00720D73" w:rsidRPr="00041BC9" w:rsidRDefault="00720D73" w:rsidP="004749D1">
            <w:pPr>
              <w:spacing w:line="240" w:lineRule="auto"/>
              <w:rPr>
                <w:b/>
                <w:bCs/>
                <w:color w:val="1F497D" w:themeColor="text2"/>
              </w:rPr>
            </w:pPr>
            <w:r w:rsidRPr="00041BC9">
              <w:rPr>
                <w:i/>
                <w:color w:val="1F497D" w:themeColor="text2"/>
              </w:rPr>
              <w:t>Tūhoe – Te Uru Taumatua</w:t>
            </w:r>
          </w:p>
        </w:tc>
        <w:tc>
          <w:tcPr>
            <w:tcW w:w="4021" w:type="pct"/>
            <w:shd w:val="clear" w:color="auto" w:fill="FFFFFF"/>
          </w:tcPr>
          <w:p w:rsidR="00720D73" w:rsidRPr="00B7462E" w:rsidRDefault="00720D73" w:rsidP="004749D1">
            <w:pPr>
              <w:spacing w:line="240" w:lineRule="auto"/>
            </w:pPr>
            <w:r w:rsidRPr="00B7462E">
              <w:t>Kirsti Luke – CEO (Te Uru Taumatua)</w:t>
            </w:r>
          </w:p>
          <w:p w:rsidR="00720D73" w:rsidRPr="00B7462E" w:rsidRDefault="00897D56" w:rsidP="004749D1">
            <w:pPr>
              <w:spacing w:line="240" w:lineRule="auto"/>
            </w:pPr>
            <w:hyperlink r:id="rId38" w:history="1">
              <w:r w:rsidR="00720D73" w:rsidRPr="00B7462E">
                <w:rPr>
                  <w:color w:val="0000FF"/>
                  <w:u w:val="single"/>
                </w:rPr>
                <w:t>kirsti@ngaituhoe.iwi.nz</w:t>
              </w:r>
            </w:hyperlink>
          </w:p>
          <w:p w:rsidR="00720D73" w:rsidRPr="00B7462E" w:rsidRDefault="00720D73" w:rsidP="004749D1">
            <w:pPr>
              <w:spacing w:line="240" w:lineRule="auto"/>
            </w:pPr>
            <w:r w:rsidRPr="00B7462E">
              <w:t>(07) 312 9659</w:t>
            </w:r>
          </w:p>
          <w:p w:rsidR="00720D73" w:rsidRPr="00B7462E" w:rsidRDefault="00897D56" w:rsidP="004749D1">
            <w:pPr>
              <w:spacing w:line="240" w:lineRule="auto"/>
            </w:pPr>
            <w:hyperlink r:id="rId39" w:history="1">
              <w:r w:rsidR="00720D73" w:rsidRPr="00B7462E">
                <w:rPr>
                  <w:rStyle w:val="Hyperlink"/>
                </w:rPr>
                <w:t>www.ngaituhoe.iwi.nz</w:t>
              </w:r>
            </w:hyperlink>
            <w:r w:rsidR="00720D73" w:rsidRPr="00B7462E">
              <w:t xml:space="preserve"> </w:t>
            </w:r>
          </w:p>
        </w:tc>
      </w:tr>
    </w:tbl>
    <w:p w:rsidR="00080B4F" w:rsidRDefault="00080B4F" w:rsidP="00D13A67">
      <w:pPr>
        <w:tabs>
          <w:tab w:val="left" w:pos="1944"/>
        </w:tabs>
      </w:pPr>
    </w:p>
    <w:sectPr w:rsidR="00080B4F" w:rsidSect="0052630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3B" w:rsidRDefault="00C2513B" w:rsidP="00A85979">
      <w:pPr>
        <w:spacing w:after="0" w:line="240" w:lineRule="auto"/>
      </w:pPr>
      <w:r>
        <w:separator/>
      </w:r>
    </w:p>
  </w:endnote>
  <w:endnote w:type="continuationSeparator" w:id="0">
    <w:p w:rsidR="00C2513B" w:rsidRDefault="00C2513B" w:rsidP="00A8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18" w:rsidRDefault="00F71A18" w:rsidP="00D13A67">
    <w:pPr>
      <w:pStyle w:val="Footer"/>
    </w:pPr>
    <w:r>
      <w:rPr>
        <w:caps/>
        <w:color w:val="FF0000"/>
        <w:sz w:val="20"/>
      </w:rPr>
      <w:t xml:space="preserve">DRAFT </w:t>
    </w:r>
    <w:r>
      <w:rPr>
        <w:caps/>
        <w:color w:val="1F497D" w:themeColor="text2"/>
        <w:sz w:val="20"/>
      </w:rPr>
      <w:t>Whakatāne District Recovery community partnership plan</w:t>
    </w:r>
  </w:p>
  <w:p w:rsidR="00F71A18" w:rsidRPr="00D13A67" w:rsidRDefault="00F71A18" w:rsidP="00D13A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18" w:rsidRPr="0081152B" w:rsidRDefault="00F71A18" w:rsidP="00A85979">
    <w:pPr>
      <w:pStyle w:val="Header"/>
    </w:pPr>
    <w:r>
      <w:rPr>
        <w:caps/>
        <w:color w:val="FF0000"/>
        <w:sz w:val="20"/>
      </w:rPr>
      <w:t xml:space="preserve">DRAFT </w:t>
    </w:r>
    <w:r>
      <w:rPr>
        <w:caps/>
        <w:color w:val="1F497D" w:themeColor="text2"/>
        <w:sz w:val="20"/>
      </w:rPr>
      <w:t xml:space="preserve">Whakatāne District Recovery community partnership plan </w:t>
    </w:r>
    <w:r>
      <w:tab/>
    </w:r>
    <w:r w:rsidRPr="0081152B">
      <w:t xml:space="preserve">PAGE </w:t>
    </w:r>
    <w:r w:rsidRPr="0081152B">
      <w:fldChar w:fldCharType="begin"/>
    </w:r>
    <w:r w:rsidRPr="0081152B">
      <w:instrText xml:space="preserve"> PAGE   \* MERGEFORMAT </w:instrText>
    </w:r>
    <w:r w:rsidRPr="0081152B">
      <w:fldChar w:fldCharType="separate"/>
    </w:r>
    <w:r w:rsidR="00897D56">
      <w:rPr>
        <w:noProof/>
      </w:rPr>
      <w:t>20</w:t>
    </w:r>
    <w:r w:rsidRPr="0081152B">
      <w:fldChar w:fldCharType="end"/>
    </w:r>
    <w:r w:rsidRPr="0081152B">
      <w:t>/</w:t>
    </w:r>
    <w:r w:rsidR="00897D56">
      <w:fldChar w:fldCharType="begin"/>
    </w:r>
    <w:r w:rsidR="00897D56">
      <w:instrText xml:space="preserve"> NUMPAGES  \* Arabic  \* MERGEFORMAT </w:instrText>
    </w:r>
    <w:r w:rsidR="00897D56">
      <w:fldChar w:fldCharType="separate"/>
    </w:r>
    <w:r w:rsidR="00897D56">
      <w:rPr>
        <w:noProof/>
      </w:rPr>
      <w:t>20</w:t>
    </w:r>
    <w:r w:rsidR="00897D56">
      <w:rPr>
        <w:noProof/>
      </w:rPr>
      <w:fldChar w:fldCharType="end"/>
    </w:r>
  </w:p>
  <w:p w:rsidR="00F71A18" w:rsidRDefault="00F71A18" w:rsidP="00A859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3B" w:rsidRDefault="00C2513B" w:rsidP="00A85979">
      <w:pPr>
        <w:spacing w:after="0" w:line="240" w:lineRule="auto"/>
      </w:pPr>
      <w:r>
        <w:separator/>
      </w:r>
    </w:p>
  </w:footnote>
  <w:footnote w:type="continuationSeparator" w:id="0">
    <w:p w:rsidR="00C2513B" w:rsidRDefault="00C2513B" w:rsidP="00A8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808366"/>
      <w:docPartObj>
        <w:docPartGallery w:val="Watermarks"/>
        <w:docPartUnique/>
      </w:docPartObj>
    </w:sdtPr>
    <w:sdtEndPr/>
    <w:sdtContent>
      <w:p w:rsidR="00F71A18" w:rsidRDefault="00897D5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18" w:rsidRDefault="00F71A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431"/>
    <w:multiLevelType w:val="hybridMultilevel"/>
    <w:tmpl w:val="A13E760E"/>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1" w15:restartNumberingAfterBreak="0">
    <w:nsid w:val="033541B4"/>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341AC7"/>
    <w:multiLevelType w:val="hybridMultilevel"/>
    <w:tmpl w:val="98DA852E"/>
    <w:lvl w:ilvl="0" w:tplc="3B94FBAC">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3" w15:restartNumberingAfterBreak="0">
    <w:nsid w:val="0AB43F1F"/>
    <w:multiLevelType w:val="hybridMultilevel"/>
    <w:tmpl w:val="6CB27C56"/>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4" w15:restartNumberingAfterBreak="0">
    <w:nsid w:val="13776564"/>
    <w:multiLevelType w:val="hybridMultilevel"/>
    <w:tmpl w:val="43F2275A"/>
    <w:lvl w:ilvl="0" w:tplc="14090001">
      <w:start w:val="1"/>
      <w:numFmt w:val="bullet"/>
      <w:lvlText w:val=""/>
      <w:lvlJc w:val="left"/>
      <w:pPr>
        <w:ind w:left="1153" w:hanging="360"/>
      </w:pPr>
      <w:rPr>
        <w:rFonts w:ascii="Symbol" w:hAnsi="Symbol" w:hint="default"/>
      </w:rPr>
    </w:lvl>
    <w:lvl w:ilvl="1" w:tplc="14090003" w:tentative="1">
      <w:start w:val="1"/>
      <w:numFmt w:val="bullet"/>
      <w:lvlText w:val="o"/>
      <w:lvlJc w:val="left"/>
      <w:pPr>
        <w:ind w:left="1873" w:hanging="360"/>
      </w:pPr>
      <w:rPr>
        <w:rFonts w:ascii="Courier New" w:hAnsi="Courier New" w:cs="Courier New" w:hint="default"/>
      </w:rPr>
    </w:lvl>
    <w:lvl w:ilvl="2" w:tplc="14090005" w:tentative="1">
      <w:start w:val="1"/>
      <w:numFmt w:val="bullet"/>
      <w:lvlText w:val=""/>
      <w:lvlJc w:val="left"/>
      <w:pPr>
        <w:ind w:left="2593" w:hanging="360"/>
      </w:pPr>
      <w:rPr>
        <w:rFonts w:ascii="Wingdings" w:hAnsi="Wingdings" w:hint="default"/>
      </w:rPr>
    </w:lvl>
    <w:lvl w:ilvl="3" w:tplc="14090001" w:tentative="1">
      <w:start w:val="1"/>
      <w:numFmt w:val="bullet"/>
      <w:lvlText w:val=""/>
      <w:lvlJc w:val="left"/>
      <w:pPr>
        <w:ind w:left="3313" w:hanging="360"/>
      </w:pPr>
      <w:rPr>
        <w:rFonts w:ascii="Symbol" w:hAnsi="Symbol" w:hint="default"/>
      </w:rPr>
    </w:lvl>
    <w:lvl w:ilvl="4" w:tplc="14090003" w:tentative="1">
      <w:start w:val="1"/>
      <w:numFmt w:val="bullet"/>
      <w:lvlText w:val="o"/>
      <w:lvlJc w:val="left"/>
      <w:pPr>
        <w:ind w:left="4033" w:hanging="360"/>
      </w:pPr>
      <w:rPr>
        <w:rFonts w:ascii="Courier New" w:hAnsi="Courier New" w:cs="Courier New" w:hint="default"/>
      </w:rPr>
    </w:lvl>
    <w:lvl w:ilvl="5" w:tplc="14090005" w:tentative="1">
      <w:start w:val="1"/>
      <w:numFmt w:val="bullet"/>
      <w:lvlText w:val=""/>
      <w:lvlJc w:val="left"/>
      <w:pPr>
        <w:ind w:left="4753" w:hanging="360"/>
      </w:pPr>
      <w:rPr>
        <w:rFonts w:ascii="Wingdings" w:hAnsi="Wingdings" w:hint="default"/>
      </w:rPr>
    </w:lvl>
    <w:lvl w:ilvl="6" w:tplc="14090001" w:tentative="1">
      <w:start w:val="1"/>
      <w:numFmt w:val="bullet"/>
      <w:lvlText w:val=""/>
      <w:lvlJc w:val="left"/>
      <w:pPr>
        <w:ind w:left="5473" w:hanging="360"/>
      </w:pPr>
      <w:rPr>
        <w:rFonts w:ascii="Symbol" w:hAnsi="Symbol" w:hint="default"/>
      </w:rPr>
    </w:lvl>
    <w:lvl w:ilvl="7" w:tplc="14090003" w:tentative="1">
      <w:start w:val="1"/>
      <w:numFmt w:val="bullet"/>
      <w:lvlText w:val="o"/>
      <w:lvlJc w:val="left"/>
      <w:pPr>
        <w:ind w:left="6193" w:hanging="360"/>
      </w:pPr>
      <w:rPr>
        <w:rFonts w:ascii="Courier New" w:hAnsi="Courier New" w:cs="Courier New" w:hint="default"/>
      </w:rPr>
    </w:lvl>
    <w:lvl w:ilvl="8" w:tplc="14090005" w:tentative="1">
      <w:start w:val="1"/>
      <w:numFmt w:val="bullet"/>
      <w:lvlText w:val=""/>
      <w:lvlJc w:val="left"/>
      <w:pPr>
        <w:ind w:left="6913" w:hanging="360"/>
      </w:pPr>
      <w:rPr>
        <w:rFonts w:ascii="Wingdings" w:hAnsi="Wingdings" w:hint="default"/>
      </w:rPr>
    </w:lvl>
  </w:abstractNum>
  <w:abstractNum w:abstractNumId="5" w15:restartNumberingAfterBreak="0">
    <w:nsid w:val="194354B4"/>
    <w:multiLevelType w:val="hybridMultilevel"/>
    <w:tmpl w:val="97900532"/>
    <w:lvl w:ilvl="0" w:tplc="9A006ED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542683"/>
    <w:multiLevelType w:val="hybridMultilevel"/>
    <w:tmpl w:val="75AE0D80"/>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7" w15:restartNumberingAfterBreak="0">
    <w:nsid w:val="1B82034F"/>
    <w:multiLevelType w:val="hybridMultilevel"/>
    <w:tmpl w:val="787ED5CE"/>
    <w:lvl w:ilvl="0" w:tplc="4FB08918">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840158"/>
    <w:multiLevelType w:val="hybridMultilevel"/>
    <w:tmpl w:val="7640D2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3EF4596"/>
    <w:multiLevelType w:val="hybridMultilevel"/>
    <w:tmpl w:val="B47EC6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4632DC0"/>
    <w:multiLevelType w:val="hybridMultilevel"/>
    <w:tmpl w:val="B7AA8CDC"/>
    <w:lvl w:ilvl="0" w:tplc="04B84D28">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11" w15:restartNumberingAfterBreak="0">
    <w:nsid w:val="25C40DB5"/>
    <w:multiLevelType w:val="hybridMultilevel"/>
    <w:tmpl w:val="02A84B36"/>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12" w15:restartNumberingAfterBreak="0">
    <w:nsid w:val="28EB7D8E"/>
    <w:multiLevelType w:val="hybridMultilevel"/>
    <w:tmpl w:val="2670E310"/>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13" w15:restartNumberingAfterBreak="0">
    <w:nsid w:val="29CB78CD"/>
    <w:multiLevelType w:val="hybridMultilevel"/>
    <w:tmpl w:val="352EB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A15FFF"/>
    <w:multiLevelType w:val="hybridMultilevel"/>
    <w:tmpl w:val="2EA60482"/>
    <w:lvl w:ilvl="0" w:tplc="4984A3C4">
      <w:start w:val="1"/>
      <w:numFmt w:val="bullet"/>
      <w:lvlText w:val="•"/>
      <w:lvlJc w:val="left"/>
      <w:pPr>
        <w:tabs>
          <w:tab w:val="num" w:pos="720"/>
        </w:tabs>
        <w:ind w:left="720" w:hanging="360"/>
      </w:pPr>
      <w:rPr>
        <w:rFonts w:ascii="Times New Roman" w:hAnsi="Times New Roman" w:hint="default"/>
      </w:rPr>
    </w:lvl>
    <w:lvl w:ilvl="1" w:tplc="015ED0E0" w:tentative="1">
      <w:start w:val="1"/>
      <w:numFmt w:val="bullet"/>
      <w:lvlText w:val="•"/>
      <w:lvlJc w:val="left"/>
      <w:pPr>
        <w:tabs>
          <w:tab w:val="num" w:pos="1440"/>
        </w:tabs>
        <w:ind w:left="1440" w:hanging="360"/>
      </w:pPr>
      <w:rPr>
        <w:rFonts w:ascii="Times New Roman" w:hAnsi="Times New Roman" w:hint="default"/>
      </w:rPr>
    </w:lvl>
    <w:lvl w:ilvl="2" w:tplc="DE969F7C" w:tentative="1">
      <w:start w:val="1"/>
      <w:numFmt w:val="bullet"/>
      <w:lvlText w:val="•"/>
      <w:lvlJc w:val="left"/>
      <w:pPr>
        <w:tabs>
          <w:tab w:val="num" w:pos="2160"/>
        </w:tabs>
        <w:ind w:left="2160" w:hanging="360"/>
      </w:pPr>
      <w:rPr>
        <w:rFonts w:ascii="Times New Roman" w:hAnsi="Times New Roman" w:hint="default"/>
      </w:rPr>
    </w:lvl>
    <w:lvl w:ilvl="3" w:tplc="F9EA4E10" w:tentative="1">
      <w:start w:val="1"/>
      <w:numFmt w:val="bullet"/>
      <w:lvlText w:val="•"/>
      <w:lvlJc w:val="left"/>
      <w:pPr>
        <w:tabs>
          <w:tab w:val="num" w:pos="2880"/>
        </w:tabs>
        <w:ind w:left="2880" w:hanging="360"/>
      </w:pPr>
      <w:rPr>
        <w:rFonts w:ascii="Times New Roman" w:hAnsi="Times New Roman" w:hint="default"/>
      </w:rPr>
    </w:lvl>
    <w:lvl w:ilvl="4" w:tplc="27A0939E" w:tentative="1">
      <w:start w:val="1"/>
      <w:numFmt w:val="bullet"/>
      <w:lvlText w:val="•"/>
      <w:lvlJc w:val="left"/>
      <w:pPr>
        <w:tabs>
          <w:tab w:val="num" w:pos="3600"/>
        </w:tabs>
        <w:ind w:left="3600" w:hanging="360"/>
      </w:pPr>
      <w:rPr>
        <w:rFonts w:ascii="Times New Roman" w:hAnsi="Times New Roman" w:hint="default"/>
      </w:rPr>
    </w:lvl>
    <w:lvl w:ilvl="5" w:tplc="7A8E3CD2" w:tentative="1">
      <w:start w:val="1"/>
      <w:numFmt w:val="bullet"/>
      <w:lvlText w:val="•"/>
      <w:lvlJc w:val="left"/>
      <w:pPr>
        <w:tabs>
          <w:tab w:val="num" w:pos="4320"/>
        </w:tabs>
        <w:ind w:left="4320" w:hanging="360"/>
      </w:pPr>
      <w:rPr>
        <w:rFonts w:ascii="Times New Roman" w:hAnsi="Times New Roman" w:hint="default"/>
      </w:rPr>
    </w:lvl>
    <w:lvl w:ilvl="6" w:tplc="B8926E86" w:tentative="1">
      <w:start w:val="1"/>
      <w:numFmt w:val="bullet"/>
      <w:lvlText w:val="•"/>
      <w:lvlJc w:val="left"/>
      <w:pPr>
        <w:tabs>
          <w:tab w:val="num" w:pos="5040"/>
        </w:tabs>
        <w:ind w:left="5040" w:hanging="360"/>
      </w:pPr>
      <w:rPr>
        <w:rFonts w:ascii="Times New Roman" w:hAnsi="Times New Roman" w:hint="default"/>
      </w:rPr>
    </w:lvl>
    <w:lvl w:ilvl="7" w:tplc="6B04F636" w:tentative="1">
      <w:start w:val="1"/>
      <w:numFmt w:val="bullet"/>
      <w:lvlText w:val="•"/>
      <w:lvlJc w:val="left"/>
      <w:pPr>
        <w:tabs>
          <w:tab w:val="num" w:pos="5760"/>
        </w:tabs>
        <w:ind w:left="5760" w:hanging="360"/>
      </w:pPr>
      <w:rPr>
        <w:rFonts w:ascii="Times New Roman" w:hAnsi="Times New Roman" w:hint="default"/>
      </w:rPr>
    </w:lvl>
    <w:lvl w:ilvl="8" w:tplc="F9FA8D3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CB6E2E"/>
    <w:multiLevelType w:val="hybridMultilevel"/>
    <w:tmpl w:val="4382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049"/>
    <w:multiLevelType w:val="hybridMultilevel"/>
    <w:tmpl w:val="30A6B4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7AC7896"/>
    <w:multiLevelType w:val="hybridMultilevel"/>
    <w:tmpl w:val="74FC8CAE"/>
    <w:lvl w:ilvl="0" w:tplc="9A006ED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86537D6"/>
    <w:multiLevelType w:val="hybridMultilevel"/>
    <w:tmpl w:val="A4EE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3526F"/>
    <w:multiLevelType w:val="hybridMultilevel"/>
    <w:tmpl w:val="87707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0B0E6B"/>
    <w:multiLevelType w:val="hybridMultilevel"/>
    <w:tmpl w:val="C5501554"/>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21" w15:restartNumberingAfterBreak="0">
    <w:nsid w:val="48397D4D"/>
    <w:multiLevelType w:val="hybridMultilevel"/>
    <w:tmpl w:val="292CE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4802AA"/>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3C086D"/>
    <w:multiLevelType w:val="hybridMultilevel"/>
    <w:tmpl w:val="1924CD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CB504C4"/>
    <w:multiLevelType w:val="hybridMultilevel"/>
    <w:tmpl w:val="05722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D0E6832"/>
    <w:multiLevelType w:val="hybridMultilevel"/>
    <w:tmpl w:val="0D18C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45251D"/>
    <w:multiLevelType w:val="hybridMultilevel"/>
    <w:tmpl w:val="DF6CDC28"/>
    <w:lvl w:ilvl="0" w:tplc="805A5F3C">
      <w:start w:val="1"/>
      <w:numFmt w:val="bullet"/>
      <w:lvlText w:val="•"/>
      <w:lvlJc w:val="left"/>
      <w:pPr>
        <w:tabs>
          <w:tab w:val="num" w:pos="720"/>
        </w:tabs>
        <w:ind w:left="720" w:hanging="360"/>
      </w:pPr>
      <w:rPr>
        <w:rFonts w:ascii="Times New Roman" w:hAnsi="Times New Roman" w:hint="default"/>
      </w:rPr>
    </w:lvl>
    <w:lvl w:ilvl="1" w:tplc="14661390" w:tentative="1">
      <w:start w:val="1"/>
      <w:numFmt w:val="bullet"/>
      <w:lvlText w:val="•"/>
      <w:lvlJc w:val="left"/>
      <w:pPr>
        <w:tabs>
          <w:tab w:val="num" w:pos="1440"/>
        </w:tabs>
        <w:ind w:left="1440" w:hanging="360"/>
      </w:pPr>
      <w:rPr>
        <w:rFonts w:ascii="Times New Roman" w:hAnsi="Times New Roman" w:hint="default"/>
      </w:rPr>
    </w:lvl>
    <w:lvl w:ilvl="2" w:tplc="E86C07FC" w:tentative="1">
      <w:start w:val="1"/>
      <w:numFmt w:val="bullet"/>
      <w:lvlText w:val="•"/>
      <w:lvlJc w:val="left"/>
      <w:pPr>
        <w:tabs>
          <w:tab w:val="num" w:pos="2160"/>
        </w:tabs>
        <w:ind w:left="2160" w:hanging="360"/>
      </w:pPr>
      <w:rPr>
        <w:rFonts w:ascii="Times New Roman" w:hAnsi="Times New Roman" w:hint="default"/>
      </w:rPr>
    </w:lvl>
    <w:lvl w:ilvl="3" w:tplc="9530D696" w:tentative="1">
      <w:start w:val="1"/>
      <w:numFmt w:val="bullet"/>
      <w:lvlText w:val="•"/>
      <w:lvlJc w:val="left"/>
      <w:pPr>
        <w:tabs>
          <w:tab w:val="num" w:pos="2880"/>
        </w:tabs>
        <w:ind w:left="2880" w:hanging="360"/>
      </w:pPr>
      <w:rPr>
        <w:rFonts w:ascii="Times New Roman" w:hAnsi="Times New Roman" w:hint="default"/>
      </w:rPr>
    </w:lvl>
    <w:lvl w:ilvl="4" w:tplc="B58E876E" w:tentative="1">
      <w:start w:val="1"/>
      <w:numFmt w:val="bullet"/>
      <w:lvlText w:val="•"/>
      <w:lvlJc w:val="left"/>
      <w:pPr>
        <w:tabs>
          <w:tab w:val="num" w:pos="3600"/>
        </w:tabs>
        <w:ind w:left="3600" w:hanging="360"/>
      </w:pPr>
      <w:rPr>
        <w:rFonts w:ascii="Times New Roman" w:hAnsi="Times New Roman" w:hint="default"/>
      </w:rPr>
    </w:lvl>
    <w:lvl w:ilvl="5" w:tplc="31002A68" w:tentative="1">
      <w:start w:val="1"/>
      <w:numFmt w:val="bullet"/>
      <w:lvlText w:val="•"/>
      <w:lvlJc w:val="left"/>
      <w:pPr>
        <w:tabs>
          <w:tab w:val="num" w:pos="4320"/>
        </w:tabs>
        <w:ind w:left="4320" w:hanging="360"/>
      </w:pPr>
      <w:rPr>
        <w:rFonts w:ascii="Times New Roman" w:hAnsi="Times New Roman" w:hint="default"/>
      </w:rPr>
    </w:lvl>
    <w:lvl w:ilvl="6" w:tplc="4DCCF656" w:tentative="1">
      <w:start w:val="1"/>
      <w:numFmt w:val="bullet"/>
      <w:lvlText w:val="•"/>
      <w:lvlJc w:val="left"/>
      <w:pPr>
        <w:tabs>
          <w:tab w:val="num" w:pos="5040"/>
        </w:tabs>
        <w:ind w:left="5040" w:hanging="360"/>
      </w:pPr>
      <w:rPr>
        <w:rFonts w:ascii="Times New Roman" w:hAnsi="Times New Roman" w:hint="default"/>
      </w:rPr>
    </w:lvl>
    <w:lvl w:ilvl="7" w:tplc="F7D68594" w:tentative="1">
      <w:start w:val="1"/>
      <w:numFmt w:val="bullet"/>
      <w:lvlText w:val="•"/>
      <w:lvlJc w:val="left"/>
      <w:pPr>
        <w:tabs>
          <w:tab w:val="num" w:pos="5760"/>
        </w:tabs>
        <w:ind w:left="5760" w:hanging="360"/>
      </w:pPr>
      <w:rPr>
        <w:rFonts w:ascii="Times New Roman" w:hAnsi="Times New Roman" w:hint="default"/>
      </w:rPr>
    </w:lvl>
    <w:lvl w:ilvl="8" w:tplc="E30A8E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DC70500"/>
    <w:multiLevelType w:val="hybridMultilevel"/>
    <w:tmpl w:val="10CE09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EB94A90"/>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E84C20"/>
    <w:multiLevelType w:val="hybridMultilevel"/>
    <w:tmpl w:val="5C5482B8"/>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30" w15:restartNumberingAfterBreak="0">
    <w:nsid w:val="55044F38"/>
    <w:multiLevelType w:val="hybridMultilevel"/>
    <w:tmpl w:val="A1723EDA"/>
    <w:lvl w:ilvl="0" w:tplc="14090001">
      <w:start w:val="1"/>
      <w:numFmt w:val="bullet"/>
      <w:lvlText w:val=""/>
      <w:lvlJc w:val="left"/>
      <w:pPr>
        <w:tabs>
          <w:tab w:val="num" w:pos="720"/>
        </w:tabs>
        <w:ind w:left="720" w:hanging="360"/>
      </w:pPr>
      <w:rPr>
        <w:rFonts w:ascii="Symbol" w:hAnsi="Symbol" w:hint="default"/>
      </w:rPr>
    </w:lvl>
    <w:lvl w:ilvl="1" w:tplc="14661390" w:tentative="1">
      <w:start w:val="1"/>
      <w:numFmt w:val="bullet"/>
      <w:lvlText w:val="•"/>
      <w:lvlJc w:val="left"/>
      <w:pPr>
        <w:tabs>
          <w:tab w:val="num" w:pos="1440"/>
        </w:tabs>
        <w:ind w:left="1440" w:hanging="360"/>
      </w:pPr>
      <w:rPr>
        <w:rFonts w:ascii="Times New Roman" w:hAnsi="Times New Roman" w:hint="default"/>
      </w:rPr>
    </w:lvl>
    <w:lvl w:ilvl="2" w:tplc="E86C07FC" w:tentative="1">
      <w:start w:val="1"/>
      <w:numFmt w:val="bullet"/>
      <w:lvlText w:val="•"/>
      <w:lvlJc w:val="left"/>
      <w:pPr>
        <w:tabs>
          <w:tab w:val="num" w:pos="2160"/>
        </w:tabs>
        <w:ind w:left="2160" w:hanging="360"/>
      </w:pPr>
      <w:rPr>
        <w:rFonts w:ascii="Times New Roman" w:hAnsi="Times New Roman" w:hint="default"/>
      </w:rPr>
    </w:lvl>
    <w:lvl w:ilvl="3" w:tplc="9530D696" w:tentative="1">
      <w:start w:val="1"/>
      <w:numFmt w:val="bullet"/>
      <w:lvlText w:val="•"/>
      <w:lvlJc w:val="left"/>
      <w:pPr>
        <w:tabs>
          <w:tab w:val="num" w:pos="2880"/>
        </w:tabs>
        <w:ind w:left="2880" w:hanging="360"/>
      </w:pPr>
      <w:rPr>
        <w:rFonts w:ascii="Times New Roman" w:hAnsi="Times New Roman" w:hint="default"/>
      </w:rPr>
    </w:lvl>
    <w:lvl w:ilvl="4" w:tplc="B58E876E" w:tentative="1">
      <w:start w:val="1"/>
      <w:numFmt w:val="bullet"/>
      <w:lvlText w:val="•"/>
      <w:lvlJc w:val="left"/>
      <w:pPr>
        <w:tabs>
          <w:tab w:val="num" w:pos="3600"/>
        </w:tabs>
        <w:ind w:left="3600" w:hanging="360"/>
      </w:pPr>
      <w:rPr>
        <w:rFonts w:ascii="Times New Roman" w:hAnsi="Times New Roman" w:hint="default"/>
      </w:rPr>
    </w:lvl>
    <w:lvl w:ilvl="5" w:tplc="31002A68" w:tentative="1">
      <w:start w:val="1"/>
      <w:numFmt w:val="bullet"/>
      <w:lvlText w:val="•"/>
      <w:lvlJc w:val="left"/>
      <w:pPr>
        <w:tabs>
          <w:tab w:val="num" w:pos="4320"/>
        </w:tabs>
        <w:ind w:left="4320" w:hanging="360"/>
      </w:pPr>
      <w:rPr>
        <w:rFonts w:ascii="Times New Roman" w:hAnsi="Times New Roman" w:hint="default"/>
      </w:rPr>
    </w:lvl>
    <w:lvl w:ilvl="6" w:tplc="4DCCF656" w:tentative="1">
      <w:start w:val="1"/>
      <w:numFmt w:val="bullet"/>
      <w:lvlText w:val="•"/>
      <w:lvlJc w:val="left"/>
      <w:pPr>
        <w:tabs>
          <w:tab w:val="num" w:pos="5040"/>
        </w:tabs>
        <w:ind w:left="5040" w:hanging="360"/>
      </w:pPr>
      <w:rPr>
        <w:rFonts w:ascii="Times New Roman" w:hAnsi="Times New Roman" w:hint="default"/>
      </w:rPr>
    </w:lvl>
    <w:lvl w:ilvl="7" w:tplc="F7D68594" w:tentative="1">
      <w:start w:val="1"/>
      <w:numFmt w:val="bullet"/>
      <w:lvlText w:val="•"/>
      <w:lvlJc w:val="left"/>
      <w:pPr>
        <w:tabs>
          <w:tab w:val="num" w:pos="5760"/>
        </w:tabs>
        <w:ind w:left="5760" w:hanging="360"/>
      </w:pPr>
      <w:rPr>
        <w:rFonts w:ascii="Times New Roman" w:hAnsi="Times New Roman" w:hint="default"/>
      </w:rPr>
    </w:lvl>
    <w:lvl w:ilvl="8" w:tplc="E30A8E1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240A55"/>
    <w:multiLevelType w:val="hybridMultilevel"/>
    <w:tmpl w:val="26784620"/>
    <w:lvl w:ilvl="0" w:tplc="14090001">
      <w:start w:val="1"/>
      <w:numFmt w:val="bullet"/>
      <w:lvlText w:val=""/>
      <w:lvlJc w:val="left"/>
      <w:pPr>
        <w:tabs>
          <w:tab w:val="num" w:pos="720"/>
        </w:tabs>
        <w:ind w:left="720" w:hanging="360"/>
      </w:pPr>
      <w:rPr>
        <w:rFonts w:ascii="Symbol" w:hAnsi="Symbol" w:hint="default"/>
      </w:rPr>
    </w:lvl>
    <w:lvl w:ilvl="1" w:tplc="14661390" w:tentative="1">
      <w:start w:val="1"/>
      <w:numFmt w:val="bullet"/>
      <w:lvlText w:val="•"/>
      <w:lvlJc w:val="left"/>
      <w:pPr>
        <w:tabs>
          <w:tab w:val="num" w:pos="1440"/>
        </w:tabs>
        <w:ind w:left="1440" w:hanging="360"/>
      </w:pPr>
      <w:rPr>
        <w:rFonts w:ascii="Times New Roman" w:hAnsi="Times New Roman" w:hint="default"/>
      </w:rPr>
    </w:lvl>
    <w:lvl w:ilvl="2" w:tplc="E86C07FC" w:tentative="1">
      <w:start w:val="1"/>
      <w:numFmt w:val="bullet"/>
      <w:lvlText w:val="•"/>
      <w:lvlJc w:val="left"/>
      <w:pPr>
        <w:tabs>
          <w:tab w:val="num" w:pos="2160"/>
        </w:tabs>
        <w:ind w:left="2160" w:hanging="360"/>
      </w:pPr>
      <w:rPr>
        <w:rFonts w:ascii="Times New Roman" w:hAnsi="Times New Roman" w:hint="default"/>
      </w:rPr>
    </w:lvl>
    <w:lvl w:ilvl="3" w:tplc="9530D696" w:tentative="1">
      <w:start w:val="1"/>
      <w:numFmt w:val="bullet"/>
      <w:lvlText w:val="•"/>
      <w:lvlJc w:val="left"/>
      <w:pPr>
        <w:tabs>
          <w:tab w:val="num" w:pos="2880"/>
        </w:tabs>
        <w:ind w:left="2880" w:hanging="360"/>
      </w:pPr>
      <w:rPr>
        <w:rFonts w:ascii="Times New Roman" w:hAnsi="Times New Roman" w:hint="default"/>
      </w:rPr>
    </w:lvl>
    <w:lvl w:ilvl="4" w:tplc="B58E876E" w:tentative="1">
      <w:start w:val="1"/>
      <w:numFmt w:val="bullet"/>
      <w:lvlText w:val="•"/>
      <w:lvlJc w:val="left"/>
      <w:pPr>
        <w:tabs>
          <w:tab w:val="num" w:pos="3600"/>
        </w:tabs>
        <w:ind w:left="3600" w:hanging="360"/>
      </w:pPr>
      <w:rPr>
        <w:rFonts w:ascii="Times New Roman" w:hAnsi="Times New Roman" w:hint="default"/>
      </w:rPr>
    </w:lvl>
    <w:lvl w:ilvl="5" w:tplc="31002A68" w:tentative="1">
      <w:start w:val="1"/>
      <w:numFmt w:val="bullet"/>
      <w:lvlText w:val="•"/>
      <w:lvlJc w:val="left"/>
      <w:pPr>
        <w:tabs>
          <w:tab w:val="num" w:pos="4320"/>
        </w:tabs>
        <w:ind w:left="4320" w:hanging="360"/>
      </w:pPr>
      <w:rPr>
        <w:rFonts w:ascii="Times New Roman" w:hAnsi="Times New Roman" w:hint="default"/>
      </w:rPr>
    </w:lvl>
    <w:lvl w:ilvl="6" w:tplc="4DCCF656" w:tentative="1">
      <w:start w:val="1"/>
      <w:numFmt w:val="bullet"/>
      <w:lvlText w:val="•"/>
      <w:lvlJc w:val="left"/>
      <w:pPr>
        <w:tabs>
          <w:tab w:val="num" w:pos="5040"/>
        </w:tabs>
        <w:ind w:left="5040" w:hanging="360"/>
      </w:pPr>
      <w:rPr>
        <w:rFonts w:ascii="Times New Roman" w:hAnsi="Times New Roman" w:hint="default"/>
      </w:rPr>
    </w:lvl>
    <w:lvl w:ilvl="7" w:tplc="F7D68594" w:tentative="1">
      <w:start w:val="1"/>
      <w:numFmt w:val="bullet"/>
      <w:lvlText w:val="•"/>
      <w:lvlJc w:val="left"/>
      <w:pPr>
        <w:tabs>
          <w:tab w:val="num" w:pos="5760"/>
        </w:tabs>
        <w:ind w:left="5760" w:hanging="360"/>
      </w:pPr>
      <w:rPr>
        <w:rFonts w:ascii="Times New Roman" w:hAnsi="Times New Roman" w:hint="default"/>
      </w:rPr>
    </w:lvl>
    <w:lvl w:ilvl="8" w:tplc="E30A8E1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EBA57FE"/>
    <w:multiLevelType w:val="hybridMultilevel"/>
    <w:tmpl w:val="CC80E5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1816BF7"/>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32E20A9"/>
    <w:multiLevelType w:val="hybridMultilevel"/>
    <w:tmpl w:val="4A76DEE4"/>
    <w:lvl w:ilvl="0" w:tplc="0890CB52">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5152D18"/>
    <w:multiLevelType w:val="hybridMultilevel"/>
    <w:tmpl w:val="743EFF6C"/>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36" w15:restartNumberingAfterBreak="0">
    <w:nsid w:val="67253495"/>
    <w:multiLevelType w:val="hybridMultilevel"/>
    <w:tmpl w:val="60A052CA"/>
    <w:lvl w:ilvl="0" w:tplc="9B0A3C2A">
      <w:numFmt w:val="bullet"/>
      <w:lvlText w:val="-"/>
      <w:lvlJc w:val="left"/>
      <w:pPr>
        <w:ind w:left="720" w:hanging="360"/>
      </w:pPr>
      <w:rPr>
        <w:rFonts w:ascii="Calibri Light" w:eastAsiaTheme="minorHAnsi" w:hAnsi="Calibri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9675AE2"/>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BE87B98"/>
    <w:multiLevelType w:val="hybridMultilevel"/>
    <w:tmpl w:val="8A22D034"/>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39" w15:restartNumberingAfterBreak="0">
    <w:nsid w:val="6C467B1F"/>
    <w:multiLevelType w:val="hybridMultilevel"/>
    <w:tmpl w:val="4FF6F7CE"/>
    <w:lvl w:ilvl="0" w:tplc="0D06DB0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F1307A4"/>
    <w:multiLevelType w:val="hybridMultilevel"/>
    <w:tmpl w:val="A44C5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D65BBF"/>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A96ADD"/>
    <w:multiLevelType w:val="hybridMultilevel"/>
    <w:tmpl w:val="D7683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3CF1AFB"/>
    <w:multiLevelType w:val="hybridMultilevel"/>
    <w:tmpl w:val="A1DAB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7321791"/>
    <w:multiLevelType w:val="hybridMultilevel"/>
    <w:tmpl w:val="EB62A3CE"/>
    <w:lvl w:ilvl="0" w:tplc="E2BA91A0">
      <w:numFmt w:val="bullet"/>
      <w:lvlText w:val=""/>
      <w:lvlJc w:val="left"/>
      <w:pPr>
        <w:ind w:left="720" w:hanging="360"/>
      </w:pPr>
      <w:rPr>
        <w:rFonts w:ascii="Symbol" w:eastAsia="Calibri" w:hAnsi="Symbol" w:cs="Times New Roman"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5" w15:restartNumberingAfterBreak="0">
    <w:nsid w:val="77F2592A"/>
    <w:multiLevelType w:val="hybridMultilevel"/>
    <w:tmpl w:val="D1CC19A2"/>
    <w:lvl w:ilvl="0" w:tplc="1409000F">
      <w:start w:val="1"/>
      <w:numFmt w:val="decimal"/>
      <w:lvlText w:val="%1."/>
      <w:lvlJc w:val="left"/>
      <w:pPr>
        <w:ind w:left="385" w:hanging="360"/>
      </w:pPr>
      <w:rPr>
        <w:rFonts w:hint="default"/>
      </w:rPr>
    </w:lvl>
    <w:lvl w:ilvl="1" w:tplc="14090019" w:tentative="1">
      <w:start w:val="1"/>
      <w:numFmt w:val="lowerLetter"/>
      <w:lvlText w:val="%2."/>
      <w:lvlJc w:val="left"/>
      <w:pPr>
        <w:ind w:left="1105" w:hanging="360"/>
      </w:pPr>
    </w:lvl>
    <w:lvl w:ilvl="2" w:tplc="1409001B" w:tentative="1">
      <w:start w:val="1"/>
      <w:numFmt w:val="lowerRoman"/>
      <w:lvlText w:val="%3."/>
      <w:lvlJc w:val="right"/>
      <w:pPr>
        <w:ind w:left="1825" w:hanging="180"/>
      </w:pPr>
    </w:lvl>
    <w:lvl w:ilvl="3" w:tplc="1409000F" w:tentative="1">
      <w:start w:val="1"/>
      <w:numFmt w:val="decimal"/>
      <w:lvlText w:val="%4."/>
      <w:lvlJc w:val="left"/>
      <w:pPr>
        <w:ind w:left="2545" w:hanging="360"/>
      </w:pPr>
    </w:lvl>
    <w:lvl w:ilvl="4" w:tplc="14090019" w:tentative="1">
      <w:start w:val="1"/>
      <w:numFmt w:val="lowerLetter"/>
      <w:lvlText w:val="%5."/>
      <w:lvlJc w:val="left"/>
      <w:pPr>
        <w:ind w:left="3265" w:hanging="360"/>
      </w:pPr>
    </w:lvl>
    <w:lvl w:ilvl="5" w:tplc="1409001B" w:tentative="1">
      <w:start w:val="1"/>
      <w:numFmt w:val="lowerRoman"/>
      <w:lvlText w:val="%6."/>
      <w:lvlJc w:val="right"/>
      <w:pPr>
        <w:ind w:left="3985" w:hanging="180"/>
      </w:pPr>
    </w:lvl>
    <w:lvl w:ilvl="6" w:tplc="1409000F" w:tentative="1">
      <w:start w:val="1"/>
      <w:numFmt w:val="decimal"/>
      <w:lvlText w:val="%7."/>
      <w:lvlJc w:val="left"/>
      <w:pPr>
        <w:ind w:left="4705" w:hanging="360"/>
      </w:pPr>
    </w:lvl>
    <w:lvl w:ilvl="7" w:tplc="14090019" w:tentative="1">
      <w:start w:val="1"/>
      <w:numFmt w:val="lowerLetter"/>
      <w:lvlText w:val="%8."/>
      <w:lvlJc w:val="left"/>
      <w:pPr>
        <w:ind w:left="5425" w:hanging="360"/>
      </w:pPr>
    </w:lvl>
    <w:lvl w:ilvl="8" w:tplc="1409001B" w:tentative="1">
      <w:start w:val="1"/>
      <w:numFmt w:val="lowerRoman"/>
      <w:lvlText w:val="%9."/>
      <w:lvlJc w:val="right"/>
      <w:pPr>
        <w:ind w:left="6145" w:hanging="180"/>
      </w:pPr>
    </w:lvl>
  </w:abstractNum>
  <w:abstractNum w:abstractNumId="46" w15:restartNumberingAfterBreak="0">
    <w:nsid w:val="79B86BB5"/>
    <w:multiLevelType w:val="hybridMultilevel"/>
    <w:tmpl w:val="6C1C1034"/>
    <w:lvl w:ilvl="0" w:tplc="5AC2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4"/>
  </w:num>
  <w:num w:numId="2">
    <w:abstractNumId w:val="26"/>
  </w:num>
  <w:num w:numId="3">
    <w:abstractNumId w:val="4"/>
  </w:num>
  <w:num w:numId="4">
    <w:abstractNumId w:val="18"/>
  </w:num>
  <w:num w:numId="5">
    <w:abstractNumId w:val="15"/>
  </w:num>
  <w:num w:numId="6">
    <w:abstractNumId w:val="27"/>
  </w:num>
  <w:num w:numId="7">
    <w:abstractNumId w:val="44"/>
  </w:num>
  <w:num w:numId="8">
    <w:abstractNumId w:val="21"/>
  </w:num>
  <w:num w:numId="9">
    <w:abstractNumId w:val="40"/>
  </w:num>
  <w:num w:numId="10">
    <w:abstractNumId w:val="43"/>
  </w:num>
  <w:num w:numId="11">
    <w:abstractNumId w:val="42"/>
  </w:num>
  <w:num w:numId="12">
    <w:abstractNumId w:val="7"/>
  </w:num>
  <w:num w:numId="13">
    <w:abstractNumId w:val="10"/>
  </w:num>
  <w:num w:numId="14">
    <w:abstractNumId w:val="28"/>
  </w:num>
  <w:num w:numId="15">
    <w:abstractNumId w:val="34"/>
  </w:num>
  <w:num w:numId="16">
    <w:abstractNumId w:val="5"/>
  </w:num>
  <w:num w:numId="17">
    <w:abstractNumId w:val="17"/>
  </w:num>
  <w:num w:numId="18">
    <w:abstractNumId w:val="2"/>
  </w:num>
  <w:num w:numId="19">
    <w:abstractNumId w:val="36"/>
  </w:num>
  <w:num w:numId="20">
    <w:abstractNumId w:val="23"/>
  </w:num>
  <w:num w:numId="21">
    <w:abstractNumId w:val="11"/>
  </w:num>
  <w:num w:numId="22">
    <w:abstractNumId w:val="20"/>
  </w:num>
  <w:num w:numId="23">
    <w:abstractNumId w:val="12"/>
  </w:num>
  <w:num w:numId="24">
    <w:abstractNumId w:val="0"/>
  </w:num>
  <w:num w:numId="25">
    <w:abstractNumId w:val="6"/>
  </w:num>
  <w:num w:numId="26">
    <w:abstractNumId w:val="45"/>
  </w:num>
  <w:num w:numId="27">
    <w:abstractNumId w:val="35"/>
  </w:num>
  <w:num w:numId="28">
    <w:abstractNumId w:val="3"/>
  </w:num>
  <w:num w:numId="29">
    <w:abstractNumId w:val="29"/>
  </w:num>
  <w:num w:numId="30">
    <w:abstractNumId w:val="38"/>
  </w:num>
  <w:num w:numId="31">
    <w:abstractNumId w:val="33"/>
  </w:num>
  <w:num w:numId="32">
    <w:abstractNumId w:val="1"/>
  </w:num>
  <w:num w:numId="33">
    <w:abstractNumId w:val="37"/>
  </w:num>
  <w:num w:numId="34">
    <w:abstractNumId w:val="46"/>
  </w:num>
  <w:num w:numId="35">
    <w:abstractNumId w:val="22"/>
  </w:num>
  <w:num w:numId="36">
    <w:abstractNumId w:val="41"/>
  </w:num>
  <w:num w:numId="37">
    <w:abstractNumId w:val="39"/>
  </w:num>
  <w:num w:numId="38">
    <w:abstractNumId w:val="31"/>
  </w:num>
  <w:num w:numId="39">
    <w:abstractNumId w:val="30"/>
  </w:num>
  <w:num w:numId="40">
    <w:abstractNumId w:val="25"/>
  </w:num>
  <w:num w:numId="41">
    <w:abstractNumId w:val="19"/>
  </w:num>
  <w:num w:numId="42">
    <w:abstractNumId w:val="13"/>
  </w:num>
  <w:num w:numId="43">
    <w:abstractNumId w:val="32"/>
  </w:num>
  <w:num w:numId="44">
    <w:abstractNumId w:val="24"/>
  </w:num>
  <w:num w:numId="45">
    <w:abstractNumId w:val="9"/>
  </w:num>
  <w:num w:numId="46">
    <w:abstractNumId w:val="16"/>
  </w:num>
  <w:num w:numId="4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2C"/>
    <w:rsid w:val="00007C0A"/>
    <w:rsid w:val="00032ECE"/>
    <w:rsid w:val="00033809"/>
    <w:rsid w:val="0004001B"/>
    <w:rsid w:val="00041BC9"/>
    <w:rsid w:val="0005141F"/>
    <w:rsid w:val="000715A6"/>
    <w:rsid w:val="00080B4F"/>
    <w:rsid w:val="00083C2E"/>
    <w:rsid w:val="00091B12"/>
    <w:rsid w:val="000C5A3F"/>
    <w:rsid w:val="000D3886"/>
    <w:rsid w:val="000E1D74"/>
    <w:rsid w:val="000F64ED"/>
    <w:rsid w:val="001043E3"/>
    <w:rsid w:val="00116793"/>
    <w:rsid w:val="00122305"/>
    <w:rsid w:val="00175615"/>
    <w:rsid w:val="001757FD"/>
    <w:rsid w:val="001844D5"/>
    <w:rsid w:val="00191D38"/>
    <w:rsid w:val="001A1813"/>
    <w:rsid w:val="001D3E96"/>
    <w:rsid w:val="001F2416"/>
    <w:rsid w:val="00213339"/>
    <w:rsid w:val="0021620A"/>
    <w:rsid w:val="0025450C"/>
    <w:rsid w:val="002A54E1"/>
    <w:rsid w:val="0030674D"/>
    <w:rsid w:val="00317CD0"/>
    <w:rsid w:val="0032241F"/>
    <w:rsid w:val="00332EF5"/>
    <w:rsid w:val="00342446"/>
    <w:rsid w:val="003A6605"/>
    <w:rsid w:val="003E25EC"/>
    <w:rsid w:val="003E6FEB"/>
    <w:rsid w:val="003F7440"/>
    <w:rsid w:val="004719A7"/>
    <w:rsid w:val="004749D1"/>
    <w:rsid w:val="00483F63"/>
    <w:rsid w:val="004B6DD0"/>
    <w:rsid w:val="004E1E1F"/>
    <w:rsid w:val="0052192C"/>
    <w:rsid w:val="00526303"/>
    <w:rsid w:val="00530B96"/>
    <w:rsid w:val="005642EE"/>
    <w:rsid w:val="00564ABC"/>
    <w:rsid w:val="0060658B"/>
    <w:rsid w:val="0061226B"/>
    <w:rsid w:val="006565F2"/>
    <w:rsid w:val="006608C4"/>
    <w:rsid w:val="006C2B44"/>
    <w:rsid w:val="006D1150"/>
    <w:rsid w:val="006F1CE5"/>
    <w:rsid w:val="007128BD"/>
    <w:rsid w:val="00720D73"/>
    <w:rsid w:val="0072569D"/>
    <w:rsid w:val="00732661"/>
    <w:rsid w:val="00740A3C"/>
    <w:rsid w:val="0076036D"/>
    <w:rsid w:val="00770E85"/>
    <w:rsid w:val="00786C1F"/>
    <w:rsid w:val="007C20FC"/>
    <w:rsid w:val="007E416F"/>
    <w:rsid w:val="00804D79"/>
    <w:rsid w:val="008125FB"/>
    <w:rsid w:val="008227E5"/>
    <w:rsid w:val="00843C38"/>
    <w:rsid w:val="0088422F"/>
    <w:rsid w:val="00884585"/>
    <w:rsid w:val="00897D56"/>
    <w:rsid w:val="008D25FA"/>
    <w:rsid w:val="00901935"/>
    <w:rsid w:val="009173BC"/>
    <w:rsid w:val="00920B8F"/>
    <w:rsid w:val="009457EB"/>
    <w:rsid w:val="00946441"/>
    <w:rsid w:val="009C519C"/>
    <w:rsid w:val="009D3319"/>
    <w:rsid w:val="00A3263D"/>
    <w:rsid w:val="00A37DE4"/>
    <w:rsid w:val="00A81ACC"/>
    <w:rsid w:val="00A85979"/>
    <w:rsid w:val="00AC2199"/>
    <w:rsid w:val="00AC4248"/>
    <w:rsid w:val="00AD58F1"/>
    <w:rsid w:val="00AF49C6"/>
    <w:rsid w:val="00B0328E"/>
    <w:rsid w:val="00B14389"/>
    <w:rsid w:val="00B1537E"/>
    <w:rsid w:val="00B51264"/>
    <w:rsid w:val="00B6288C"/>
    <w:rsid w:val="00BA2DF1"/>
    <w:rsid w:val="00BA38BC"/>
    <w:rsid w:val="00BA4A03"/>
    <w:rsid w:val="00BC1840"/>
    <w:rsid w:val="00BC3BDF"/>
    <w:rsid w:val="00BE1B46"/>
    <w:rsid w:val="00BE1EA3"/>
    <w:rsid w:val="00BE39CC"/>
    <w:rsid w:val="00BE7DDA"/>
    <w:rsid w:val="00C2513B"/>
    <w:rsid w:val="00C61D0F"/>
    <w:rsid w:val="00CC318E"/>
    <w:rsid w:val="00CE6089"/>
    <w:rsid w:val="00D13A67"/>
    <w:rsid w:val="00D13D33"/>
    <w:rsid w:val="00D26B7E"/>
    <w:rsid w:val="00D5767F"/>
    <w:rsid w:val="00D60C29"/>
    <w:rsid w:val="00D74372"/>
    <w:rsid w:val="00DE141F"/>
    <w:rsid w:val="00DF5559"/>
    <w:rsid w:val="00E30C31"/>
    <w:rsid w:val="00E472D0"/>
    <w:rsid w:val="00E608E5"/>
    <w:rsid w:val="00F07D82"/>
    <w:rsid w:val="00F279DA"/>
    <w:rsid w:val="00F27FE7"/>
    <w:rsid w:val="00F412D8"/>
    <w:rsid w:val="00F577FF"/>
    <w:rsid w:val="00F71A18"/>
    <w:rsid w:val="00F729F7"/>
    <w:rsid w:val="00F936AB"/>
    <w:rsid w:val="00F96D11"/>
    <w:rsid w:val="00FB0579"/>
    <w:rsid w:val="00FB7C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75CB93-144C-400F-A769-97B5376E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92C"/>
    <w:rPr>
      <w:rFonts w:ascii="Calibri Light" w:hAnsi="Calibri Light"/>
    </w:rPr>
  </w:style>
  <w:style w:type="paragraph" w:styleId="Heading1">
    <w:name w:val="heading 1"/>
    <w:basedOn w:val="Normal"/>
    <w:next w:val="Normal"/>
    <w:link w:val="Heading1Char"/>
    <w:uiPriority w:val="9"/>
    <w:qFormat/>
    <w:rsid w:val="008125FB"/>
    <w:pPr>
      <w:keepNext/>
      <w:keepLines/>
      <w:pBdr>
        <w:bottom w:val="single" w:sz="4" w:space="1" w:color="003882"/>
      </w:pBdr>
      <w:tabs>
        <w:tab w:val="left" w:pos="454"/>
      </w:tabs>
      <w:spacing w:before="360" w:after="0" w:line="240" w:lineRule="auto"/>
      <w:outlineLvl w:val="0"/>
    </w:pPr>
    <w:rPr>
      <w:rFonts w:ascii="Segoe UI Semibold" w:eastAsiaTheme="majorEastAsia" w:hAnsi="Segoe UI Semibold" w:cstheme="majorBidi"/>
      <w:b/>
      <w:bCs/>
      <w:color w:val="003882"/>
      <w:sz w:val="52"/>
      <w:szCs w:val="28"/>
    </w:rPr>
  </w:style>
  <w:style w:type="paragraph" w:styleId="Heading2">
    <w:name w:val="heading 2"/>
    <w:basedOn w:val="Normal"/>
    <w:next w:val="Normal"/>
    <w:link w:val="Heading2Char"/>
    <w:uiPriority w:val="9"/>
    <w:unhideWhenUsed/>
    <w:qFormat/>
    <w:rsid w:val="000F64ED"/>
    <w:pPr>
      <w:keepNext/>
      <w:keepLines/>
      <w:spacing w:before="200" w:after="0"/>
      <w:outlineLvl w:val="1"/>
    </w:pPr>
    <w:rPr>
      <w:rFonts w:eastAsiaTheme="majorEastAsia" w:cstheme="majorBidi"/>
      <w:bCs/>
      <w:color w:val="17365D" w:themeColor="text2" w:themeShade="BF"/>
      <w:sz w:val="36"/>
      <w:szCs w:val="36"/>
    </w:rPr>
  </w:style>
  <w:style w:type="paragraph" w:styleId="Heading6">
    <w:name w:val="heading 6"/>
    <w:basedOn w:val="Normal"/>
    <w:next w:val="Normal"/>
    <w:link w:val="Heading6Char"/>
    <w:uiPriority w:val="9"/>
    <w:semiHidden/>
    <w:unhideWhenUsed/>
    <w:qFormat/>
    <w:rsid w:val="00B62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5FB"/>
    <w:rPr>
      <w:rFonts w:ascii="Segoe UI Semibold" w:eastAsiaTheme="majorEastAsia" w:hAnsi="Segoe UI Semibold" w:cstheme="majorBidi"/>
      <w:b/>
      <w:bCs/>
      <w:color w:val="003882"/>
      <w:sz w:val="52"/>
      <w:szCs w:val="28"/>
    </w:rPr>
  </w:style>
  <w:style w:type="table" w:styleId="TableGrid">
    <w:name w:val="Table Grid"/>
    <w:basedOn w:val="TableNormal"/>
    <w:uiPriority w:val="39"/>
    <w:rsid w:val="0081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5FB"/>
    <w:rPr>
      <w:rFonts w:ascii="Tahoma" w:hAnsi="Tahoma" w:cs="Tahoma"/>
      <w:sz w:val="16"/>
      <w:szCs w:val="16"/>
    </w:rPr>
  </w:style>
  <w:style w:type="character" w:customStyle="1" w:styleId="Heading2Char">
    <w:name w:val="Heading 2 Char"/>
    <w:basedOn w:val="DefaultParagraphFont"/>
    <w:link w:val="Heading2"/>
    <w:uiPriority w:val="9"/>
    <w:rsid w:val="000F64ED"/>
    <w:rPr>
      <w:rFonts w:ascii="Calibri Light" w:eastAsiaTheme="majorEastAsia" w:hAnsi="Calibri Light" w:cstheme="majorBidi"/>
      <w:bCs/>
      <w:color w:val="17365D" w:themeColor="text2" w:themeShade="BF"/>
      <w:sz w:val="36"/>
      <w:szCs w:val="36"/>
    </w:rPr>
  </w:style>
  <w:style w:type="paragraph" w:styleId="ListParagraph">
    <w:name w:val="List Paragraph"/>
    <w:aliases w:val="3,POCG Table Text"/>
    <w:basedOn w:val="Normal"/>
    <w:link w:val="ListParagraphChar"/>
    <w:uiPriority w:val="34"/>
    <w:qFormat/>
    <w:rsid w:val="008125FB"/>
    <w:pPr>
      <w:ind w:left="720"/>
      <w:contextualSpacing/>
    </w:pPr>
  </w:style>
  <w:style w:type="character" w:customStyle="1" w:styleId="ListParagraphChar">
    <w:name w:val="List Paragraph Char"/>
    <w:aliases w:val="3 Char,POCG Table Text Char"/>
    <w:basedOn w:val="DefaultParagraphFont"/>
    <w:link w:val="ListParagraph"/>
    <w:uiPriority w:val="99"/>
    <w:locked/>
    <w:rsid w:val="008125FB"/>
    <w:rPr>
      <w:rFonts w:ascii="Calibri Light" w:hAnsi="Calibri Light"/>
    </w:rPr>
  </w:style>
  <w:style w:type="character" w:styleId="Hyperlink">
    <w:name w:val="Hyperlink"/>
    <w:uiPriority w:val="99"/>
    <w:unhideWhenUsed/>
    <w:rsid w:val="00116793"/>
    <w:rPr>
      <w:color w:val="00447C"/>
      <w:u w:val="single"/>
    </w:rPr>
  </w:style>
  <w:style w:type="character" w:customStyle="1" w:styleId="Heading6Char">
    <w:name w:val="Heading 6 Char"/>
    <w:basedOn w:val="DefaultParagraphFont"/>
    <w:link w:val="Heading6"/>
    <w:uiPriority w:val="9"/>
    <w:semiHidden/>
    <w:rsid w:val="00B6288C"/>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39"/>
    <w:rsid w:val="00A8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979"/>
    <w:rPr>
      <w:rFonts w:ascii="Calibri Light" w:hAnsi="Calibri Light"/>
    </w:rPr>
  </w:style>
  <w:style w:type="paragraph" w:styleId="Footer">
    <w:name w:val="footer"/>
    <w:basedOn w:val="Normal"/>
    <w:link w:val="FooterChar"/>
    <w:uiPriority w:val="99"/>
    <w:unhideWhenUsed/>
    <w:rsid w:val="00A8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979"/>
    <w:rPr>
      <w:rFonts w:ascii="Calibri Light" w:hAnsi="Calibri Light"/>
    </w:rPr>
  </w:style>
  <w:style w:type="table" w:styleId="LightShading-Accent1">
    <w:name w:val="Light Shading Accent 1"/>
    <w:basedOn w:val="TableNormal"/>
    <w:uiPriority w:val="60"/>
    <w:rsid w:val="0076036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QuickStyle" Target="diagrams/quickStyle1.xml" Id="rId13" /><Relationship Type="http://schemas.openxmlformats.org/officeDocument/2006/relationships/image" Target="media/image8.png" Id="rId18" /><Relationship Type="http://schemas.openxmlformats.org/officeDocument/2006/relationships/footer" Target="footer1.xml" Id="rId26" /><Relationship Type="http://schemas.openxmlformats.org/officeDocument/2006/relationships/hyperlink" Target="http://www.ngaituhoe.iwi.nz" TargetMode="External" Id="rId39" /><Relationship Type="http://schemas.openxmlformats.org/officeDocument/2006/relationships/numbering" Target="numbering.xml" Id="rId3" /><Relationship Type="http://schemas.openxmlformats.org/officeDocument/2006/relationships/diagramData" Target="diagrams/data2.xml" Id="rId21" /><Relationship Type="http://schemas.openxmlformats.org/officeDocument/2006/relationships/hyperlink" Target="mailto:administrator@ngatirangitihi.iwi.nz" TargetMode="External" Id="rId34" /><Relationship Type="http://schemas.openxmlformats.org/officeDocument/2006/relationships/footnotes" Target="footnotes.xml" Id="rId7" /><Relationship Type="http://schemas.openxmlformats.org/officeDocument/2006/relationships/diagramLayout" Target="diagrams/layout1.xml" Id="rId12" /><Relationship Type="http://schemas.openxmlformats.org/officeDocument/2006/relationships/image" Target="media/image7.png" Id="rId17" /><Relationship Type="http://schemas.microsoft.com/office/2007/relationships/diagramDrawing" Target="diagrams/drawing2.xml" Id="rId25" /><Relationship Type="http://schemas.openxmlformats.org/officeDocument/2006/relationships/hyperlink" Target="http://www.ngatimanawa.org" TargetMode="External" Id="rId33" /><Relationship Type="http://schemas.openxmlformats.org/officeDocument/2006/relationships/hyperlink" Target="mailto:kirsti@ngaituhoe.iwi.nz" TargetMode="External" Id="rId38"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jpeg" Id="rId20" /><Relationship Type="http://schemas.openxmlformats.org/officeDocument/2006/relationships/image" Target="media/image11.jpeg" Id="rId29" /><Relationship Type="http://schemas.openxmlformats.org/officeDocument/2006/relationships/theme" Target="theme/theme1.xml" Id="rId41" /><Relationship Type="http://schemas.openxmlformats.org/officeDocument/2006/relationships/webSettings" Target="webSettings.xml" Id="rId6" /><Relationship Type="http://schemas.openxmlformats.org/officeDocument/2006/relationships/diagramData" Target="diagrams/data1.xml" Id="rId11" /><Relationship Type="http://schemas.openxmlformats.org/officeDocument/2006/relationships/diagramColors" Target="diagrams/colors2.xml" Id="rId24" /><Relationship Type="http://schemas.openxmlformats.org/officeDocument/2006/relationships/hyperlink" Target="mailto:maramena.vercoe@tronm.co.nz" TargetMode="External" Id="rId32" /><Relationship Type="http://schemas.openxmlformats.org/officeDocument/2006/relationships/hyperlink" Target="http://www.ngatiwhare.iwi.nz" TargetMode="External" Id="rId37" /><Relationship Type="http://schemas.openxmlformats.org/officeDocument/2006/relationships/fontTable" Target="fontTable.xml" Id="rId40" /><Relationship Type="http://schemas.openxmlformats.org/officeDocument/2006/relationships/settings" Target="settings.xml" Id="rId5" /><Relationship Type="http://schemas.microsoft.com/office/2007/relationships/diagramDrawing" Target="diagrams/drawing1.xml" Id="rId15" /><Relationship Type="http://schemas.openxmlformats.org/officeDocument/2006/relationships/diagramQuickStyle" Target="diagrams/quickStyle2.xml" Id="rId23" /><Relationship Type="http://schemas.openxmlformats.org/officeDocument/2006/relationships/footer" Target="footer2.xml" Id="rId28" /><Relationship Type="http://schemas.openxmlformats.org/officeDocument/2006/relationships/hyperlink" Target="mailto:te_waiti@ngatiwhare.iwi.nz" TargetMode="External" Id="rId36" /><Relationship Type="http://schemas.openxmlformats.org/officeDocument/2006/relationships/image" Target="media/image1.jpg" Id="rId10" /><Relationship Type="http://schemas.openxmlformats.org/officeDocument/2006/relationships/image" Target="media/image9.png" Id="rId19" /><Relationship Type="http://schemas.openxmlformats.org/officeDocument/2006/relationships/hyperlink" Target="http://www.ngatiawa.iwi.nz" TargetMode="Externa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diagramColors" Target="diagrams/colors1.xml" Id="rId14" /><Relationship Type="http://schemas.openxmlformats.org/officeDocument/2006/relationships/diagramLayout" Target="diagrams/layout2.xml" Id="rId22" /><Relationship Type="http://schemas.openxmlformats.org/officeDocument/2006/relationships/header" Target="header2.xml" Id="rId27" /><Relationship Type="http://schemas.openxmlformats.org/officeDocument/2006/relationships/hyperlink" Target="mailto:Leonie@ngatiawa.iwi.nz" TargetMode="External" Id="rId30" /><Relationship Type="http://schemas.openxmlformats.org/officeDocument/2006/relationships/hyperlink" Target="http://www.ngatirangitihi.iwi.nz" TargetMode="External" Id="rId35" /><Relationship Type="http://schemas.openxmlformats.org/officeDocument/2006/relationships/customXml" Target="/customXML/item4.xml" Id="R4f0852f89ae9475f" /></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A4ECE-25C0-402B-8D0C-D34A13C647F5}" type="doc">
      <dgm:prSet loTypeId="urn:microsoft.com/office/officeart/2005/8/layout/hList7" loCatId="relationship" qsTypeId="urn:microsoft.com/office/officeart/2005/8/quickstyle/simple2" qsCatId="simple" csTypeId="urn:microsoft.com/office/officeart/2005/8/colors/accent0_3" csCatId="mainScheme" phldr="1"/>
      <dgm:spPr/>
    </dgm:pt>
    <dgm:pt modelId="{262DB3CF-EBEA-4489-A173-92150F297D2C}">
      <dgm:prSet phldrT="[Text]"/>
      <dgm:spPr>
        <a:solidFill>
          <a:srgbClr val="037299">
            <a:alpha val="14902"/>
          </a:srgbClr>
        </a:solidFill>
        <a:ln>
          <a:noFill/>
        </a:ln>
      </dgm:spPr>
      <dgm:t>
        <a:bodyPr/>
        <a:lstStyle/>
        <a:p>
          <a:r>
            <a:rPr lang="en-NZ">
              <a:solidFill>
                <a:schemeClr val="accent1">
                  <a:lumMod val="50000"/>
                </a:schemeClr>
              </a:solidFill>
              <a:effectLst/>
            </a:rPr>
            <a:t>Reconnect </a:t>
          </a:r>
          <a:r>
            <a:rPr lang="en-NZ" i="1">
              <a:solidFill>
                <a:schemeClr val="accent1">
                  <a:lumMod val="50000"/>
                </a:schemeClr>
              </a:solidFill>
              <a:effectLst/>
            </a:rPr>
            <a:t>Tūhononga</a:t>
          </a:r>
        </a:p>
      </dgm:t>
    </dgm:pt>
    <dgm:pt modelId="{671CFDFC-C268-4161-BB44-9E12208C8153}" type="parTrans" cxnId="{3B1D4AFC-864A-4767-87D6-919A3BAE1EBD}">
      <dgm:prSet/>
      <dgm:spPr/>
      <dgm:t>
        <a:bodyPr/>
        <a:lstStyle/>
        <a:p>
          <a:endParaRPr lang="en-NZ"/>
        </a:p>
      </dgm:t>
    </dgm:pt>
    <dgm:pt modelId="{92BAEB1B-3A20-453A-AF2F-9CB3489F5FAA}" type="sibTrans" cxnId="{3B1D4AFC-864A-4767-87D6-919A3BAE1EBD}">
      <dgm:prSet/>
      <dgm:spPr/>
      <dgm:t>
        <a:bodyPr/>
        <a:lstStyle/>
        <a:p>
          <a:endParaRPr lang="en-NZ"/>
        </a:p>
      </dgm:t>
    </dgm:pt>
    <dgm:pt modelId="{2E99674F-D2DC-4824-95B9-9ADDF3BE04B4}">
      <dgm:prSet phldrT="[Text]"/>
      <dgm:spPr>
        <a:solidFill>
          <a:srgbClr val="037299">
            <a:alpha val="14902"/>
          </a:srgbClr>
        </a:solidFill>
        <a:ln>
          <a:noFill/>
        </a:ln>
      </dgm:spPr>
      <dgm:t>
        <a:bodyPr/>
        <a:lstStyle/>
        <a:p>
          <a:pPr algn="ctr"/>
          <a:r>
            <a:rPr lang="en-NZ">
              <a:solidFill>
                <a:schemeClr val="accent1">
                  <a:lumMod val="50000"/>
                </a:schemeClr>
              </a:solidFill>
              <a:effectLst/>
            </a:rPr>
            <a:t>Restore </a:t>
          </a:r>
          <a:r>
            <a:rPr lang="en-NZ" i="1">
              <a:solidFill>
                <a:schemeClr val="accent1">
                  <a:lumMod val="50000"/>
                </a:schemeClr>
              </a:solidFill>
              <a:effectLst/>
            </a:rPr>
            <a:t>Whakahou</a:t>
          </a:r>
        </a:p>
      </dgm:t>
    </dgm:pt>
    <dgm:pt modelId="{0E913497-EE88-4071-9F2D-F81BC6B3DD55}" type="parTrans" cxnId="{8389F9AC-83E0-4B20-84BF-5BAC5D04F51B}">
      <dgm:prSet/>
      <dgm:spPr/>
      <dgm:t>
        <a:bodyPr/>
        <a:lstStyle/>
        <a:p>
          <a:endParaRPr lang="en-NZ"/>
        </a:p>
      </dgm:t>
    </dgm:pt>
    <dgm:pt modelId="{DE876464-8591-49F3-AC06-953E31586713}" type="sibTrans" cxnId="{8389F9AC-83E0-4B20-84BF-5BAC5D04F51B}">
      <dgm:prSet/>
      <dgm:spPr/>
      <dgm:t>
        <a:bodyPr/>
        <a:lstStyle/>
        <a:p>
          <a:endParaRPr lang="en-NZ"/>
        </a:p>
      </dgm:t>
    </dgm:pt>
    <dgm:pt modelId="{92D5731D-695A-4E6A-AD27-2FD3E17CF196}">
      <dgm:prSet phldrT="[Text]"/>
      <dgm:spPr>
        <a:solidFill>
          <a:srgbClr val="037299">
            <a:alpha val="14902"/>
          </a:srgbClr>
        </a:solidFill>
        <a:ln>
          <a:noFill/>
        </a:ln>
      </dgm:spPr>
      <dgm:t>
        <a:bodyPr/>
        <a:lstStyle/>
        <a:p>
          <a:pPr algn="ctr"/>
          <a:r>
            <a:rPr lang="en-NZ">
              <a:solidFill>
                <a:schemeClr val="accent1">
                  <a:lumMod val="50000"/>
                </a:schemeClr>
              </a:solidFill>
              <a:effectLst/>
            </a:rPr>
            <a:t>Rebuild </a:t>
          </a:r>
          <a:r>
            <a:rPr lang="en-NZ" i="1">
              <a:solidFill>
                <a:schemeClr val="accent1">
                  <a:lumMod val="50000"/>
                </a:schemeClr>
              </a:solidFill>
              <a:effectLst/>
            </a:rPr>
            <a:t>Waihanga</a:t>
          </a:r>
        </a:p>
      </dgm:t>
    </dgm:pt>
    <dgm:pt modelId="{69C45764-1B97-4A21-AB7A-2450D133D96F}" type="parTrans" cxnId="{7AD875FE-C464-460F-ADE0-9F8C3E478DF5}">
      <dgm:prSet/>
      <dgm:spPr/>
      <dgm:t>
        <a:bodyPr/>
        <a:lstStyle/>
        <a:p>
          <a:endParaRPr lang="en-NZ"/>
        </a:p>
      </dgm:t>
    </dgm:pt>
    <dgm:pt modelId="{6E6889C6-876F-4673-9352-ABF7B7EBC7CA}" type="sibTrans" cxnId="{7AD875FE-C464-460F-ADE0-9F8C3E478DF5}">
      <dgm:prSet/>
      <dgm:spPr/>
      <dgm:t>
        <a:bodyPr/>
        <a:lstStyle/>
        <a:p>
          <a:endParaRPr lang="en-NZ"/>
        </a:p>
      </dgm:t>
    </dgm:pt>
    <dgm:pt modelId="{E56DC732-C035-4180-8AB1-289D304801AF}">
      <dgm:prSet phldrT="[Text]"/>
      <dgm:spPr>
        <a:solidFill>
          <a:srgbClr val="037299">
            <a:alpha val="14902"/>
          </a:srgbClr>
        </a:solidFill>
        <a:ln>
          <a:noFill/>
        </a:ln>
      </dgm:spPr>
      <dgm:t>
        <a:bodyPr/>
        <a:lstStyle/>
        <a:p>
          <a:r>
            <a:rPr lang="en-NZ">
              <a:solidFill>
                <a:schemeClr val="accent1">
                  <a:lumMod val="50000"/>
                </a:schemeClr>
              </a:solidFill>
            </a:rPr>
            <a:t>Regenerate  </a:t>
          </a:r>
          <a:r>
            <a:rPr lang="en-NZ" i="1">
              <a:solidFill>
                <a:schemeClr val="accent1">
                  <a:lumMod val="50000"/>
                </a:schemeClr>
              </a:solidFill>
            </a:rPr>
            <a:t>Whakatipu</a:t>
          </a:r>
        </a:p>
      </dgm:t>
    </dgm:pt>
    <dgm:pt modelId="{9217C644-C3B0-42CF-9CD0-96F98E694973}" type="parTrans" cxnId="{76A82D9C-DF1E-4DC2-92D6-387E5405DB7E}">
      <dgm:prSet/>
      <dgm:spPr/>
      <dgm:t>
        <a:bodyPr/>
        <a:lstStyle/>
        <a:p>
          <a:endParaRPr lang="en-NZ"/>
        </a:p>
      </dgm:t>
    </dgm:pt>
    <dgm:pt modelId="{FF0BDDB1-56E3-4223-AC39-365E7ACB57EA}" type="sibTrans" cxnId="{76A82D9C-DF1E-4DC2-92D6-387E5405DB7E}">
      <dgm:prSet/>
      <dgm:spPr/>
      <dgm:t>
        <a:bodyPr/>
        <a:lstStyle/>
        <a:p>
          <a:endParaRPr lang="en-NZ"/>
        </a:p>
      </dgm:t>
    </dgm:pt>
    <dgm:pt modelId="{5657BBC1-68E1-4A1C-9036-C671AC1FAB80}" type="pres">
      <dgm:prSet presAssocID="{F2DA4ECE-25C0-402B-8D0C-D34A13C647F5}" presName="Name0" presStyleCnt="0">
        <dgm:presLayoutVars>
          <dgm:dir/>
          <dgm:resizeHandles val="exact"/>
        </dgm:presLayoutVars>
      </dgm:prSet>
      <dgm:spPr/>
    </dgm:pt>
    <dgm:pt modelId="{9DFCCBA3-579A-4BE3-9029-0FDC59B8CB20}" type="pres">
      <dgm:prSet presAssocID="{F2DA4ECE-25C0-402B-8D0C-D34A13C647F5}" presName="fgShape" presStyleLbl="fgShp" presStyleIdx="0" presStyleCnt="1" custScaleX="98815" custScaleY="143174" custLinFactNeighborX="-1302" custLinFactNeighborY="-4324"/>
      <dgm:spPr>
        <a:solidFill>
          <a:schemeClr val="bg1"/>
        </a:solidFill>
        <a:ln>
          <a:noFill/>
        </a:ln>
      </dgm:spPr>
    </dgm:pt>
    <dgm:pt modelId="{F53ACB1E-CF0A-4B79-BED2-BE36133B2286}" type="pres">
      <dgm:prSet presAssocID="{F2DA4ECE-25C0-402B-8D0C-D34A13C647F5}" presName="linComp" presStyleCnt="0"/>
      <dgm:spPr/>
    </dgm:pt>
    <dgm:pt modelId="{D515998A-D0AB-44D1-B1C5-7F48433AC371}" type="pres">
      <dgm:prSet presAssocID="{262DB3CF-EBEA-4489-A173-92150F297D2C}" presName="compNode" presStyleCnt="0"/>
      <dgm:spPr/>
    </dgm:pt>
    <dgm:pt modelId="{A57B0BA9-BB2A-4033-BA46-82298241075B}" type="pres">
      <dgm:prSet presAssocID="{262DB3CF-EBEA-4489-A173-92150F297D2C}" presName="bkgdShape" presStyleLbl="node1" presStyleIdx="0" presStyleCnt="4" custLinFactNeighborX="288" custLinFactNeighborY="659"/>
      <dgm:spPr/>
      <dgm:t>
        <a:bodyPr/>
        <a:lstStyle/>
        <a:p>
          <a:endParaRPr lang="en-NZ"/>
        </a:p>
      </dgm:t>
    </dgm:pt>
    <dgm:pt modelId="{825BCA86-9A02-482D-99CD-AEF889B82F70}" type="pres">
      <dgm:prSet presAssocID="{262DB3CF-EBEA-4489-A173-92150F297D2C}" presName="nodeTx" presStyleLbl="node1" presStyleIdx="0" presStyleCnt="4">
        <dgm:presLayoutVars>
          <dgm:bulletEnabled val="1"/>
        </dgm:presLayoutVars>
      </dgm:prSet>
      <dgm:spPr/>
      <dgm:t>
        <a:bodyPr/>
        <a:lstStyle/>
        <a:p>
          <a:endParaRPr lang="en-NZ"/>
        </a:p>
      </dgm:t>
    </dgm:pt>
    <dgm:pt modelId="{08F1CD09-6824-47A0-B98D-AB7287949829}" type="pres">
      <dgm:prSet presAssocID="{262DB3CF-EBEA-4489-A173-92150F297D2C}" presName="invisiNode" presStyleLbl="node1" presStyleIdx="0" presStyleCnt="4"/>
      <dgm:spPr/>
    </dgm:pt>
    <dgm:pt modelId="{36AF8099-20E3-4F95-BE34-BCA402A1A9FA}" type="pres">
      <dgm:prSet presAssocID="{262DB3CF-EBEA-4489-A173-92150F297D2C}" presName="imagNode" presStyleLbl="fgImgPlace1" presStyleIdx="0" presStyleCnt="4"/>
      <dgm:spPr>
        <a:blipFill rotWithShape="1">
          <a:blip xmlns:r="http://schemas.openxmlformats.org/officeDocument/2006/relationships" r:embed="rId1"/>
          <a:stretch>
            <a:fillRect/>
          </a:stretch>
        </a:blipFill>
        <a:ln w="0">
          <a:noFill/>
        </a:ln>
        <a:effectLst/>
      </dgm:spPr>
      <dgm:t>
        <a:bodyPr/>
        <a:lstStyle/>
        <a:p>
          <a:endParaRPr lang="en-NZ"/>
        </a:p>
      </dgm:t>
    </dgm:pt>
    <dgm:pt modelId="{F061258C-2F2A-44FD-8231-B5DBB34E43DC}" type="pres">
      <dgm:prSet presAssocID="{92BAEB1B-3A20-453A-AF2F-9CB3489F5FAA}" presName="sibTrans" presStyleLbl="sibTrans2D1" presStyleIdx="0" presStyleCnt="0"/>
      <dgm:spPr/>
      <dgm:t>
        <a:bodyPr/>
        <a:lstStyle/>
        <a:p>
          <a:endParaRPr lang="en-NZ"/>
        </a:p>
      </dgm:t>
    </dgm:pt>
    <dgm:pt modelId="{06A80C62-E7A0-42F4-AC87-0E068EA120B8}" type="pres">
      <dgm:prSet presAssocID="{2E99674F-D2DC-4824-95B9-9ADDF3BE04B4}" presName="compNode" presStyleCnt="0"/>
      <dgm:spPr/>
    </dgm:pt>
    <dgm:pt modelId="{DEDAE884-16F5-4CD8-9029-87E7C2EB5D9D}" type="pres">
      <dgm:prSet presAssocID="{2E99674F-D2DC-4824-95B9-9ADDF3BE04B4}" presName="bkgdShape" presStyleLbl="node1" presStyleIdx="1" presStyleCnt="4"/>
      <dgm:spPr/>
      <dgm:t>
        <a:bodyPr/>
        <a:lstStyle/>
        <a:p>
          <a:endParaRPr lang="en-NZ"/>
        </a:p>
      </dgm:t>
    </dgm:pt>
    <dgm:pt modelId="{38FB3B50-A4BE-4829-9874-3D848255BFF2}" type="pres">
      <dgm:prSet presAssocID="{2E99674F-D2DC-4824-95B9-9ADDF3BE04B4}" presName="nodeTx" presStyleLbl="node1" presStyleIdx="1" presStyleCnt="4">
        <dgm:presLayoutVars>
          <dgm:bulletEnabled val="1"/>
        </dgm:presLayoutVars>
      </dgm:prSet>
      <dgm:spPr/>
      <dgm:t>
        <a:bodyPr/>
        <a:lstStyle/>
        <a:p>
          <a:endParaRPr lang="en-NZ"/>
        </a:p>
      </dgm:t>
    </dgm:pt>
    <dgm:pt modelId="{3BC86056-769B-4657-B59A-B4E8FFD67BF2}" type="pres">
      <dgm:prSet presAssocID="{2E99674F-D2DC-4824-95B9-9ADDF3BE04B4}" presName="invisiNode" presStyleLbl="node1" presStyleIdx="1" presStyleCnt="4"/>
      <dgm:spPr/>
    </dgm:pt>
    <dgm:pt modelId="{A48CE41A-B1FE-42AB-9A9C-0C3FBDAF568F}" type="pres">
      <dgm:prSet presAssocID="{2E99674F-D2DC-4824-95B9-9ADDF3BE04B4}" presName="imagNode" presStyleLbl="fgImgPlace1" presStyleIdx="1" presStyleCnt="4"/>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a:noFill/>
        </a:ln>
        <a:effectLst/>
      </dgm:spPr>
      <dgm:t>
        <a:bodyPr/>
        <a:lstStyle/>
        <a:p>
          <a:endParaRPr lang="en-NZ"/>
        </a:p>
      </dgm:t>
    </dgm:pt>
    <dgm:pt modelId="{DF069FA7-9CC4-4083-A8BF-5BACBD4A968D}" type="pres">
      <dgm:prSet presAssocID="{DE876464-8591-49F3-AC06-953E31586713}" presName="sibTrans" presStyleLbl="sibTrans2D1" presStyleIdx="0" presStyleCnt="0"/>
      <dgm:spPr/>
      <dgm:t>
        <a:bodyPr/>
        <a:lstStyle/>
        <a:p>
          <a:endParaRPr lang="en-NZ"/>
        </a:p>
      </dgm:t>
    </dgm:pt>
    <dgm:pt modelId="{EF6292A1-0BF0-4AF2-95CF-23AB157946D7}" type="pres">
      <dgm:prSet presAssocID="{92D5731D-695A-4E6A-AD27-2FD3E17CF196}" presName="compNode" presStyleCnt="0"/>
      <dgm:spPr/>
    </dgm:pt>
    <dgm:pt modelId="{1438EBE3-13DB-4AD1-A037-B60772576044}" type="pres">
      <dgm:prSet presAssocID="{92D5731D-695A-4E6A-AD27-2FD3E17CF196}" presName="bkgdShape" presStyleLbl="node1" presStyleIdx="2" presStyleCnt="4"/>
      <dgm:spPr/>
      <dgm:t>
        <a:bodyPr/>
        <a:lstStyle/>
        <a:p>
          <a:endParaRPr lang="en-NZ"/>
        </a:p>
      </dgm:t>
    </dgm:pt>
    <dgm:pt modelId="{5C28369C-5546-4563-B30C-097678D24DD7}" type="pres">
      <dgm:prSet presAssocID="{92D5731D-695A-4E6A-AD27-2FD3E17CF196}" presName="nodeTx" presStyleLbl="node1" presStyleIdx="2" presStyleCnt="4">
        <dgm:presLayoutVars>
          <dgm:bulletEnabled val="1"/>
        </dgm:presLayoutVars>
      </dgm:prSet>
      <dgm:spPr/>
      <dgm:t>
        <a:bodyPr/>
        <a:lstStyle/>
        <a:p>
          <a:endParaRPr lang="en-NZ"/>
        </a:p>
      </dgm:t>
    </dgm:pt>
    <dgm:pt modelId="{ECE414FB-4675-4ACF-A06B-56A779A37830}" type="pres">
      <dgm:prSet presAssocID="{92D5731D-695A-4E6A-AD27-2FD3E17CF196}" presName="invisiNode" presStyleLbl="node1" presStyleIdx="2" presStyleCnt="4"/>
      <dgm:spPr/>
    </dgm:pt>
    <dgm:pt modelId="{DE775F6F-73F8-4915-859E-A2E4287E22EF}" type="pres">
      <dgm:prSet presAssocID="{92D5731D-695A-4E6A-AD27-2FD3E17CF196}" presName="imagNode" presStyleLbl="fgImgPlace1" presStyleIdx="2" presStyleCnt="4"/>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a:noFill/>
        </a:ln>
        <a:effectLst/>
      </dgm:spPr>
      <dgm:t>
        <a:bodyPr/>
        <a:lstStyle/>
        <a:p>
          <a:endParaRPr lang="en-NZ"/>
        </a:p>
      </dgm:t>
    </dgm:pt>
    <dgm:pt modelId="{9F6E9821-6B51-4173-ACEA-1925F3E2F089}" type="pres">
      <dgm:prSet presAssocID="{6E6889C6-876F-4673-9352-ABF7B7EBC7CA}" presName="sibTrans" presStyleLbl="sibTrans2D1" presStyleIdx="0" presStyleCnt="0"/>
      <dgm:spPr/>
      <dgm:t>
        <a:bodyPr/>
        <a:lstStyle/>
        <a:p>
          <a:endParaRPr lang="en-NZ"/>
        </a:p>
      </dgm:t>
    </dgm:pt>
    <dgm:pt modelId="{47237522-C9B3-4AA8-A75F-6042FFD7EADE}" type="pres">
      <dgm:prSet presAssocID="{E56DC732-C035-4180-8AB1-289D304801AF}" presName="compNode" presStyleCnt="0"/>
      <dgm:spPr/>
    </dgm:pt>
    <dgm:pt modelId="{637E4435-644D-4007-B5AE-5DB8308754D4}" type="pres">
      <dgm:prSet presAssocID="{E56DC732-C035-4180-8AB1-289D304801AF}" presName="bkgdShape" presStyleLbl="node1" presStyleIdx="3" presStyleCnt="4"/>
      <dgm:spPr/>
      <dgm:t>
        <a:bodyPr/>
        <a:lstStyle/>
        <a:p>
          <a:endParaRPr lang="en-NZ"/>
        </a:p>
      </dgm:t>
    </dgm:pt>
    <dgm:pt modelId="{2AD5658F-2E56-4037-81A8-4588A7A2D886}" type="pres">
      <dgm:prSet presAssocID="{E56DC732-C035-4180-8AB1-289D304801AF}" presName="nodeTx" presStyleLbl="node1" presStyleIdx="3" presStyleCnt="4">
        <dgm:presLayoutVars>
          <dgm:bulletEnabled val="1"/>
        </dgm:presLayoutVars>
      </dgm:prSet>
      <dgm:spPr/>
      <dgm:t>
        <a:bodyPr/>
        <a:lstStyle/>
        <a:p>
          <a:endParaRPr lang="en-NZ"/>
        </a:p>
      </dgm:t>
    </dgm:pt>
    <dgm:pt modelId="{C8EFD243-5CCF-446F-A288-A190F00B67F5}" type="pres">
      <dgm:prSet presAssocID="{E56DC732-C035-4180-8AB1-289D304801AF}" presName="invisiNode" presStyleLbl="node1" presStyleIdx="3" presStyleCnt="4"/>
      <dgm:spPr/>
    </dgm:pt>
    <dgm:pt modelId="{E8C7F959-4F01-4891-8FA9-7E58830F308D}" type="pres">
      <dgm:prSet presAssocID="{E56DC732-C035-4180-8AB1-289D304801AF}" presName="imagNode" presStyleLbl="fgImgPlace1" presStyleIdx="3" presStyleCnt="4"/>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a:noFill/>
        </a:ln>
        <a:effectLst/>
      </dgm:spPr>
      <dgm:t>
        <a:bodyPr/>
        <a:lstStyle/>
        <a:p>
          <a:endParaRPr lang="en-NZ"/>
        </a:p>
      </dgm:t>
    </dgm:pt>
  </dgm:ptLst>
  <dgm:cxnLst>
    <dgm:cxn modelId="{A26F36A3-8E3B-4F27-9D40-034CF49A3755}" type="presOf" srcId="{92D5731D-695A-4E6A-AD27-2FD3E17CF196}" destId="{1438EBE3-13DB-4AD1-A037-B60772576044}" srcOrd="0" destOrd="0" presId="urn:microsoft.com/office/officeart/2005/8/layout/hList7"/>
    <dgm:cxn modelId="{8389F9AC-83E0-4B20-84BF-5BAC5D04F51B}" srcId="{F2DA4ECE-25C0-402B-8D0C-D34A13C647F5}" destId="{2E99674F-D2DC-4824-95B9-9ADDF3BE04B4}" srcOrd="1" destOrd="0" parTransId="{0E913497-EE88-4071-9F2D-F81BC6B3DD55}" sibTransId="{DE876464-8591-49F3-AC06-953E31586713}"/>
    <dgm:cxn modelId="{2886A464-2225-4638-96F0-4F15D373DD0B}" type="presOf" srcId="{DE876464-8591-49F3-AC06-953E31586713}" destId="{DF069FA7-9CC4-4083-A8BF-5BACBD4A968D}" srcOrd="0" destOrd="0" presId="urn:microsoft.com/office/officeart/2005/8/layout/hList7"/>
    <dgm:cxn modelId="{54129DC0-CA2F-4F6A-A7B6-F99353333E0C}" type="presOf" srcId="{92BAEB1B-3A20-453A-AF2F-9CB3489F5FAA}" destId="{F061258C-2F2A-44FD-8231-B5DBB34E43DC}" srcOrd="0" destOrd="0" presId="urn:microsoft.com/office/officeart/2005/8/layout/hList7"/>
    <dgm:cxn modelId="{25B5F353-14D1-44B8-B034-47D434158216}" type="presOf" srcId="{262DB3CF-EBEA-4489-A173-92150F297D2C}" destId="{A57B0BA9-BB2A-4033-BA46-82298241075B}" srcOrd="0" destOrd="0" presId="urn:microsoft.com/office/officeart/2005/8/layout/hList7"/>
    <dgm:cxn modelId="{A64DC92C-0217-458D-AA5F-9307A6A141E6}" type="presOf" srcId="{92D5731D-695A-4E6A-AD27-2FD3E17CF196}" destId="{5C28369C-5546-4563-B30C-097678D24DD7}" srcOrd="1" destOrd="0" presId="urn:microsoft.com/office/officeart/2005/8/layout/hList7"/>
    <dgm:cxn modelId="{787023A1-45F6-4930-A03C-CABBAE54EE62}" type="presOf" srcId="{E56DC732-C035-4180-8AB1-289D304801AF}" destId="{2AD5658F-2E56-4037-81A8-4588A7A2D886}" srcOrd="1" destOrd="0" presId="urn:microsoft.com/office/officeart/2005/8/layout/hList7"/>
    <dgm:cxn modelId="{7AD875FE-C464-460F-ADE0-9F8C3E478DF5}" srcId="{F2DA4ECE-25C0-402B-8D0C-D34A13C647F5}" destId="{92D5731D-695A-4E6A-AD27-2FD3E17CF196}" srcOrd="2" destOrd="0" parTransId="{69C45764-1B97-4A21-AB7A-2450D133D96F}" sibTransId="{6E6889C6-876F-4673-9352-ABF7B7EBC7CA}"/>
    <dgm:cxn modelId="{2534E942-46B9-4D66-B5ED-2F4AC2C71476}" type="presOf" srcId="{2E99674F-D2DC-4824-95B9-9ADDF3BE04B4}" destId="{DEDAE884-16F5-4CD8-9029-87E7C2EB5D9D}" srcOrd="0" destOrd="0" presId="urn:microsoft.com/office/officeart/2005/8/layout/hList7"/>
    <dgm:cxn modelId="{0949B7B1-BE05-49FB-80C7-211AC55E9591}" type="presOf" srcId="{6E6889C6-876F-4673-9352-ABF7B7EBC7CA}" destId="{9F6E9821-6B51-4173-ACEA-1925F3E2F089}" srcOrd="0" destOrd="0" presId="urn:microsoft.com/office/officeart/2005/8/layout/hList7"/>
    <dgm:cxn modelId="{3B1D4AFC-864A-4767-87D6-919A3BAE1EBD}" srcId="{F2DA4ECE-25C0-402B-8D0C-D34A13C647F5}" destId="{262DB3CF-EBEA-4489-A173-92150F297D2C}" srcOrd="0" destOrd="0" parTransId="{671CFDFC-C268-4161-BB44-9E12208C8153}" sibTransId="{92BAEB1B-3A20-453A-AF2F-9CB3489F5FAA}"/>
    <dgm:cxn modelId="{3E4D3D49-0995-4747-A4FB-79F01A8F28E0}" type="presOf" srcId="{F2DA4ECE-25C0-402B-8D0C-D34A13C647F5}" destId="{5657BBC1-68E1-4A1C-9036-C671AC1FAB80}" srcOrd="0" destOrd="0" presId="urn:microsoft.com/office/officeart/2005/8/layout/hList7"/>
    <dgm:cxn modelId="{0FB0373F-27A5-4D8F-982A-FC12AC1F328E}" type="presOf" srcId="{E56DC732-C035-4180-8AB1-289D304801AF}" destId="{637E4435-644D-4007-B5AE-5DB8308754D4}" srcOrd="0" destOrd="0" presId="urn:microsoft.com/office/officeart/2005/8/layout/hList7"/>
    <dgm:cxn modelId="{7FA5EC13-A29E-4FBF-BF95-8E540C594BFB}" type="presOf" srcId="{262DB3CF-EBEA-4489-A173-92150F297D2C}" destId="{825BCA86-9A02-482D-99CD-AEF889B82F70}" srcOrd="1" destOrd="0" presId="urn:microsoft.com/office/officeart/2005/8/layout/hList7"/>
    <dgm:cxn modelId="{76A82D9C-DF1E-4DC2-92D6-387E5405DB7E}" srcId="{F2DA4ECE-25C0-402B-8D0C-D34A13C647F5}" destId="{E56DC732-C035-4180-8AB1-289D304801AF}" srcOrd="3" destOrd="0" parTransId="{9217C644-C3B0-42CF-9CD0-96F98E694973}" sibTransId="{FF0BDDB1-56E3-4223-AC39-365E7ACB57EA}"/>
    <dgm:cxn modelId="{7886CA41-2F66-43F9-93FA-D8E3BD9368B1}" type="presOf" srcId="{2E99674F-D2DC-4824-95B9-9ADDF3BE04B4}" destId="{38FB3B50-A4BE-4829-9874-3D848255BFF2}" srcOrd="1" destOrd="0" presId="urn:microsoft.com/office/officeart/2005/8/layout/hList7"/>
    <dgm:cxn modelId="{4D79ED0E-8AA6-49D8-BCB3-7B6DF3AED7F0}" type="presParOf" srcId="{5657BBC1-68E1-4A1C-9036-C671AC1FAB80}" destId="{9DFCCBA3-579A-4BE3-9029-0FDC59B8CB20}" srcOrd="0" destOrd="0" presId="urn:microsoft.com/office/officeart/2005/8/layout/hList7"/>
    <dgm:cxn modelId="{7AC61D76-4AAC-4EFF-A6D7-F3A4117B79E6}" type="presParOf" srcId="{5657BBC1-68E1-4A1C-9036-C671AC1FAB80}" destId="{F53ACB1E-CF0A-4B79-BED2-BE36133B2286}" srcOrd="1" destOrd="0" presId="urn:microsoft.com/office/officeart/2005/8/layout/hList7"/>
    <dgm:cxn modelId="{69FF9838-1612-4581-8C72-65DB172B98E7}" type="presParOf" srcId="{F53ACB1E-CF0A-4B79-BED2-BE36133B2286}" destId="{D515998A-D0AB-44D1-B1C5-7F48433AC371}" srcOrd="0" destOrd="0" presId="urn:microsoft.com/office/officeart/2005/8/layout/hList7"/>
    <dgm:cxn modelId="{46942347-B3DC-4624-9599-DF0FAF5FF5C9}" type="presParOf" srcId="{D515998A-D0AB-44D1-B1C5-7F48433AC371}" destId="{A57B0BA9-BB2A-4033-BA46-82298241075B}" srcOrd="0" destOrd="0" presId="urn:microsoft.com/office/officeart/2005/8/layout/hList7"/>
    <dgm:cxn modelId="{71BAD289-05CD-4E55-9042-04215BDCFC3D}" type="presParOf" srcId="{D515998A-D0AB-44D1-B1C5-7F48433AC371}" destId="{825BCA86-9A02-482D-99CD-AEF889B82F70}" srcOrd="1" destOrd="0" presId="urn:microsoft.com/office/officeart/2005/8/layout/hList7"/>
    <dgm:cxn modelId="{954CF7FC-25AB-4DDD-A4C1-487111B9EBD3}" type="presParOf" srcId="{D515998A-D0AB-44D1-B1C5-7F48433AC371}" destId="{08F1CD09-6824-47A0-B98D-AB7287949829}" srcOrd="2" destOrd="0" presId="urn:microsoft.com/office/officeart/2005/8/layout/hList7"/>
    <dgm:cxn modelId="{8F4660F8-754A-40AA-B239-8D9B5199571B}" type="presParOf" srcId="{D515998A-D0AB-44D1-B1C5-7F48433AC371}" destId="{36AF8099-20E3-4F95-BE34-BCA402A1A9FA}" srcOrd="3" destOrd="0" presId="urn:microsoft.com/office/officeart/2005/8/layout/hList7"/>
    <dgm:cxn modelId="{5256DACD-F02D-4359-BBD0-4E60CE9D0B27}" type="presParOf" srcId="{F53ACB1E-CF0A-4B79-BED2-BE36133B2286}" destId="{F061258C-2F2A-44FD-8231-B5DBB34E43DC}" srcOrd="1" destOrd="0" presId="urn:microsoft.com/office/officeart/2005/8/layout/hList7"/>
    <dgm:cxn modelId="{AD00CB7F-341F-4C88-8E44-1D75EAC6CE94}" type="presParOf" srcId="{F53ACB1E-CF0A-4B79-BED2-BE36133B2286}" destId="{06A80C62-E7A0-42F4-AC87-0E068EA120B8}" srcOrd="2" destOrd="0" presId="urn:microsoft.com/office/officeart/2005/8/layout/hList7"/>
    <dgm:cxn modelId="{313D810D-13D5-4148-9A76-CD7D051AAD2A}" type="presParOf" srcId="{06A80C62-E7A0-42F4-AC87-0E068EA120B8}" destId="{DEDAE884-16F5-4CD8-9029-87E7C2EB5D9D}" srcOrd="0" destOrd="0" presId="urn:microsoft.com/office/officeart/2005/8/layout/hList7"/>
    <dgm:cxn modelId="{5AF2CC1C-414D-4D36-9F53-B23B954FCF61}" type="presParOf" srcId="{06A80C62-E7A0-42F4-AC87-0E068EA120B8}" destId="{38FB3B50-A4BE-4829-9874-3D848255BFF2}" srcOrd="1" destOrd="0" presId="urn:microsoft.com/office/officeart/2005/8/layout/hList7"/>
    <dgm:cxn modelId="{0954A06D-B987-44CB-9E25-DEFA098947B9}" type="presParOf" srcId="{06A80C62-E7A0-42F4-AC87-0E068EA120B8}" destId="{3BC86056-769B-4657-B59A-B4E8FFD67BF2}" srcOrd="2" destOrd="0" presId="urn:microsoft.com/office/officeart/2005/8/layout/hList7"/>
    <dgm:cxn modelId="{4756D67C-5320-45D1-8008-55418C120EB7}" type="presParOf" srcId="{06A80C62-E7A0-42F4-AC87-0E068EA120B8}" destId="{A48CE41A-B1FE-42AB-9A9C-0C3FBDAF568F}" srcOrd="3" destOrd="0" presId="urn:microsoft.com/office/officeart/2005/8/layout/hList7"/>
    <dgm:cxn modelId="{BE95F6ED-6528-4443-B1EA-763B98E8CF62}" type="presParOf" srcId="{F53ACB1E-CF0A-4B79-BED2-BE36133B2286}" destId="{DF069FA7-9CC4-4083-A8BF-5BACBD4A968D}" srcOrd="3" destOrd="0" presId="urn:microsoft.com/office/officeart/2005/8/layout/hList7"/>
    <dgm:cxn modelId="{02761B81-639C-43D4-B7ED-92CFB93CA822}" type="presParOf" srcId="{F53ACB1E-CF0A-4B79-BED2-BE36133B2286}" destId="{EF6292A1-0BF0-4AF2-95CF-23AB157946D7}" srcOrd="4" destOrd="0" presId="urn:microsoft.com/office/officeart/2005/8/layout/hList7"/>
    <dgm:cxn modelId="{A503D619-0D5F-4CF3-B30E-E4C2F3C8B61B}" type="presParOf" srcId="{EF6292A1-0BF0-4AF2-95CF-23AB157946D7}" destId="{1438EBE3-13DB-4AD1-A037-B60772576044}" srcOrd="0" destOrd="0" presId="urn:microsoft.com/office/officeart/2005/8/layout/hList7"/>
    <dgm:cxn modelId="{B504FFCC-0D31-42B8-86BF-4623EC190488}" type="presParOf" srcId="{EF6292A1-0BF0-4AF2-95CF-23AB157946D7}" destId="{5C28369C-5546-4563-B30C-097678D24DD7}" srcOrd="1" destOrd="0" presId="urn:microsoft.com/office/officeart/2005/8/layout/hList7"/>
    <dgm:cxn modelId="{0D414C60-BE58-4CFE-83BC-C737B695431F}" type="presParOf" srcId="{EF6292A1-0BF0-4AF2-95CF-23AB157946D7}" destId="{ECE414FB-4675-4ACF-A06B-56A779A37830}" srcOrd="2" destOrd="0" presId="urn:microsoft.com/office/officeart/2005/8/layout/hList7"/>
    <dgm:cxn modelId="{A495A8D8-F86D-4F20-AEF3-3BC4CA5808C9}" type="presParOf" srcId="{EF6292A1-0BF0-4AF2-95CF-23AB157946D7}" destId="{DE775F6F-73F8-4915-859E-A2E4287E22EF}" srcOrd="3" destOrd="0" presId="urn:microsoft.com/office/officeart/2005/8/layout/hList7"/>
    <dgm:cxn modelId="{BC8F0E32-C48A-47D7-9243-F8754F69EEC3}" type="presParOf" srcId="{F53ACB1E-CF0A-4B79-BED2-BE36133B2286}" destId="{9F6E9821-6B51-4173-ACEA-1925F3E2F089}" srcOrd="5" destOrd="0" presId="urn:microsoft.com/office/officeart/2005/8/layout/hList7"/>
    <dgm:cxn modelId="{D26EE1B0-0B40-4999-8BD9-2AFDC7FBDDA1}" type="presParOf" srcId="{F53ACB1E-CF0A-4B79-BED2-BE36133B2286}" destId="{47237522-C9B3-4AA8-A75F-6042FFD7EADE}" srcOrd="6" destOrd="0" presId="urn:microsoft.com/office/officeart/2005/8/layout/hList7"/>
    <dgm:cxn modelId="{D9E6B3FC-C489-4889-BA75-C4197D70B092}" type="presParOf" srcId="{47237522-C9B3-4AA8-A75F-6042FFD7EADE}" destId="{637E4435-644D-4007-B5AE-5DB8308754D4}" srcOrd="0" destOrd="0" presId="urn:microsoft.com/office/officeart/2005/8/layout/hList7"/>
    <dgm:cxn modelId="{0F2353F7-B735-46AB-B339-B68A89705E45}" type="presParOf" srcId="{47237522-C9B3-4AA8-A75F-6042FFD7EADE}" destId="{2AD5658F-2E56-4037-81A8-4588A7A2D886}" srcOrd="1" destOrd="0" presId="urn:microsoft.com/office/officeart/2005/8/layout/hList7"/>
    <dgm:cxn modelId="{08AD11AC-6282-4FC8-9A0A-BC8F57144008}" type="presParOf" srcId="{47237522-C9B3-4AA8-A75F-6042FFD7EADE}" destId="{C8EFD243-5CCF-446F-A288-A190F00B67F5}" srcOrd="2" destOrd="0" presId="urn:microsoft.com/office/officeart/2005/8/layout/hList7"/>
    <dgm:cxn modelId="{F4797208-D978-4EF5-9D71-19B165FF5F7C}" type="presParOf" srcId="{47237522-C9B3-4AA8-A75F-6042FFD7EADE}" destId="{E8C7F959-4F01-4891-8FA9-7E58830F308D}" srcOrd="3" destOrd="0" presId="urn:microsoft.com/office/officeart/2005/8/layout/hList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400068-53F3-4B8E-8109-FD5B5B6998EE}" type="doc">
      <dgm:prSet loTypeId="urn:microsoft.com/office/officeart/2009/3/layout/IncreasingArrowsProcess" loCatId="process" qsTypeId="urn:microsoft.com/office/officeart/2005/8/quickstyle/simple1" qsCatId="simple" csTypeId="urn:microsoft.com/office/officeart/2005/8/colors/accent1_4" csCatId="accent1" phldr="1"/>
      <dgm:spPr/>
      <dgm:t>
        <a:bodyPr/>
        <a:lstStyle/>
        <a:p>
          <a:endParaRPr lang="en-NZ"/>
        </a:p>
      </dgm:t>
    </dgm:pt>
    <dgm:pt modelId="{A400C672-F85C-4314-A34C-BF6ED5EB2608}">
      <dgm:prSet phldrT="[Text]" custT="1"/>
      <dgm:spPr/>
      <dgm:t>
        <a:bodyPr/>
        <a:lstStyle/>
        <a:p>
          <a:r>
            <a:rPr lang="en-NZ" sz="1100" b="1"/>
            <a:t>FIX (short term)</a:t>
          </a:r>
        </a:p>
      </dgm:t>
    </dgm:pt>
    <dgm:pt modelId="{60953D15-D120-4F24-BD52-B086D03D8920}" type="parTrans" cxnId="{B88806CC-71EA-4F49-9D46-D939232CFCD1}">
      <dgm:prSet/>
      <dgm:spPr/>
      <dgm:t>
        <a:bodyPr/>
        <a:lstStyle/>
        <a:p>
          <a:endParaRPr lang="en-NZ" sz="1100" b="0"/>
        </a:p>
      </dgm:t>
    </dgm:pt>
    <dgm:pt modelId="{7310ACCD-E09C-4CD6-B7A8-CDF959748CCE}" type="sibTrans" cxnId="{B88806CC-71EA-4F49-9D46-D939232CFCD1}">
      <dgm:prSet/>
      <dgm:spPr/>
      <dgm:t>
        <a:bodyPr/>
        <a:lstStyle/>
        <a:p>
          <a:endParaRPr lang="en-NZ" sz="1100" b="0"/>
        </a:p>
      </dgm:t>
    </dgm:pt>
    <dgm:pt modelId="{BC1EF905-1D90-46A8-97F5-FEE84C45B988}">
      <dgm:prSet phldrT="[Text]" custT="1"/>
      <dgm:spPr>
        <a:solidFill>
          <a:schemeClr val="accent1">
            <a:lumMod val="40000"/>
            <a:lumOff val="60000"/>
          </a:schemeClr>
        </a:solidFill>
      </dgm:spPr>
      <dgm:t>
        <a:bodyPr/>
        <a:lstStyle/>
        <a:p>
          <a:r>
            <a:rPr lang="en-NZ" sz="1100" b="1"/>
            <a:t>FUTURE (long-term)</a:t>
          </a:r>
        </a:p>
      </dgm:t>
    </dgm:pt>
    <dgm:pt modelId="{22EC39F2-D3EF-4DF9-84B8-F3914B271D42}" type="parTrans" cxnId="{97FDD94C-6357-442E-B625-F288C2F73E6D}">
      <dgm:prSet/>
      <dgm:spPr/>
      <dgm:t>
        <a:bodyPr/>
        <a:lstStyle/>
        <a:p>
          <a:endParaRPr lang="en-NZ" sz="1100" b="0"/>
        </a:p>
      </dgm:t>
    </dgm:pt>
    <dgm:pt modelId="{F6E3DF1A-C147-4D85-85A4-1E50B1597E91}" type="sibTrans" cxnId="{97FDD94C-6357-442E-B625-F288C2F73E6D}">
      <dgm:prSet/>
      <dgm:spPr/>
      <dgm:t>
        <a:bodyPr/>
        <a:lstStyle/>
        <a:p>
          <a:endParaRPr lang="en-NZ" sz="1100" b="0"/>
        </a:p>
      </dgm:t>
    </dgm:pt>
    <dgm:pt modelId="{CB9B6D91-0771-415B-A222-86A1A6B047AB}">
      <dgm:prSet phldrT="[Text]" custT="1">
        <dgm:style>
          <a:lnRef idx="2">
            <a:schemeClr val="accent4"/>
          </a:lnRef>
          <a:fillRef idx="1">
            <a:schemeClr val="lt1"/>
          </a:fillRef>
          <a:effectRef idx="0">
            <a:schemeClr val="accent4"/>
          </a:effectRef>
          <a:fontRef idx="minor">
            <a:schemeClr val="dk1"/>
          </a:fontRef>
        </dgm:style>
      </dgm:prSet>
      <dgm:spPr/>
      <dgm:t>
        <a:bodyPr/>
        <a:lstStyle/>
        <a:p>
          <a:r>
            <a:rPr lang="en-NZ" sz="1100" b="1"/>
            <a:t>Mahi Tahi/Collaborate</a:t>
          </a:r>
        </a:p>
        <a:p>
          <a:r>
            <a:rPr lang="en-NZ" sz="1100" b="0" i="1"/>
            <a:t>Partnering in every aspect of the decision-making including the development of ideas and options.</a:t>
          </a:r>
          <a:endParaRPr lang="en-NZ" sz="1100" b="0"/>
        </a:p>
        <a:p>
          <a:r>
            <a:rPr lang="en-NZ" sz="1100" b="1"/>
            <a:t>Whakamana/Empower</a:t>
          </a:r>
        </a:p>
        <a:p>
          <a:r>
            <a:rPr lang="en-NZ" sz="1100" b="0" i="1"/>
            <a:t>Putting the decision-making in the hands of the community and implementing what they decide.</a:t>
          </a:r>
          <a:endParaRPr lang="en-NZ" sz="1100" b="0"/>
        </a:p>
      </dgm:t>
    </dgm:pt>
    <dgm:pt modelId="{E2F15444-16DA-4324-89F2-A4DF49E8C75A}" type="parTrans" cxnId="{E3E2DF8B-B862-48CD-9D65-B6DE6C3B49B7}">
      <dgm:prSet/>
      <dgm:spPr/>
      <dgm:t>
        <a:bodyPr/>
        <a:lstStyle/>
        <a:p>
          <a:endParaRPr lang="en-NZ" sz="1100" b="0"/>
        </a:p>
      </dgm:t>
    </dgm:pt>
    <dgm:pt modelId="{9DAD7E4C-E466-49EF-8007-31C1B3056F08}" type="sibTrans" cxnId="{E3E2DF8B-B862-48CD-9D65-B6DE6C3B49B7}">
      <dgm:prSet/>
      <dgm:spPr/>
      <dgm:t>
        <a:bodyPr/>
        <a:lstStyle/>
        <a:p>
          <a:endParaRPr lang="en-NZ" sz="1100" b="0"/>
        </a:p>
      </dgm:t>
    </dgm:pt>
    <dgm:pt modelId="{6B3F1841-81FC-4B1B-B811-FC4B49C53B5A}">
      <dgm:prSet phldrT="[Text]" custT="1"/>
      <dgm:spPr/>
      <dgm:t>
        <a:bodyPr/>
        <a:lstStyle/>
        <a:p>
          <a:r>
            <a:rPr lang="en-NZ" sz="1100" b="1"/>
            <a:t>FOCUS (medium term)</a:t>
          </a:r>
        </a:p>
      </dgm:t>
    </dgm:pt>
    <dgm:pt modelId="{8B573E6A-0A1F-4E4B-B921-B7483D061F43}" type="parTrans" cxnId="{5DC5B979-4FAE-491F-881F-D25AC93B1AF6}">
      <dgm:prSet/>
      <dgm:spPr/>
      <dgm:t>
        <a:bodyPr/>
        <a:lstStyle/>
        <a:p>
          <a:endParaRPr lang="en-NZ" sz="1100" b="0"/>
        </a:p>
      </dgm:t>
    </dgm:pt>
    <dgm:pt modelId="{1E70CDC2-08E2-4A73-890B-E6DCD49FEFBE}" type="sibTrans" cxnId="{5DC5B979-4FAE-491F-881F-D25AC93B1AF6}">
      <dgm:prSet/>
      <dgm:spPr/>
      <dgm:t>
        <a:bodyPr/>
        <a:lstStyle/>
        <a:p>
          <a:endParaRPr lang="en-NZ" sz="1100" b="0"/>
        </a:p>
      </dgm:t>
    </dgm:pt>
    <dgm:pt modelId="{18B361E0-C33C-4014-AA79-8C6998C779AB}">
      <dgm:prSet phldrT="[Text]" custT="1">
        <dgm:style>
          <a:lnRef idx="2">
            <a:schemeClr val="accent2"/>
          </a:lnRef>
          <a:fillRef idx="1">
            <a:schemeClr val="lt1"/>
          </a:fillRef>
          <a:effectRef idx="0">
            <a:schemeClr val="accent2"/>
          </a:effectRef>
          <a:fontRef idx="minor">
            <a:schemeClr val="dk1"/>
          </a:fontRef>
        </dgm:style>
      </dgm:prSet>
      <dgm:spPr/>
      <dgm:t>
        <a:bodyPr/>
        <a:lstStyle/>
        <a:p>
          <a:r>
            <a:rPr lang="en-NZ" sz="1100" b="1"/>
            <a:t>Whakawhirinaki/Consult</a:t>
          </a:r>
        </a:p>
        <a:p>
          <a:r>
            <a:rPr lang="en-NZ" sz="1100" b="0" i="1"/>
            <a:t>Obtaining feedback as input to decision-making.</a:t>
          </a:r>
        </a:p>
        <a:p>
          <a:endParaRPr lang="en-NZ" sz="1100" b="0"/>
        </a:p>
        <a:p>
          <a:r>
            <a:rPr lang="en-NZ" sz="1100" b="1"/>
            <a:t>Wawata/Involve </a:t>
          </a:r>
        </a:p>
        <a:p>
          <a:r>
            <a:rPr lang="en-NZ" sz="1100" b="0" i="1"/>
            <a:t>Working directly with people and ensuring that their aspirations are understood and reflected in outcomes.</a:t>
          </a:r>
          <a:endParaRPr lang="en-NZ" sz="1100" b="0"/>
        </a:p>
        <a:p>
          <a:endParaRPr lang="en-NZ" sz="1100" b="0"/>
        </a:p>
        <a:p>
          <a:endParaRPr lang="en-NZ" sz="1100" b="0"/>
        </a:p>
      </dgm:t>
    </dgm:pt>
    <dgm:pt modelId="{C95CC572-7EFF-4D05-B1F3-C2E4A158B290}" type="parTrans" cxnId="{677E8372-B912-40B6-9EB5-2186F923D6E2}">
      <dgm:prSet/>
      <dgm:spPr/>
      <dgm:t>
        <a:bodyPr/>
        <a:lstStyle/>
        <a:p>
          <a:endParaRPr lang="en-NZ" sz="1100" b="0"/>
        </a:p>
      </dgm:t>
    </dgm:pt>
    <dgm:pt modelId="{38B0BC14-0F99-4AB8-84C2-5C498974AACD}" type="sibTrans" cxnId="{677E8372-B912-40B6-9EB5-2186F923D6E2}">
      <dgm:prSet/>
      <dgm:spPr/>
      <dgm:t>
        <a:bodyPr/>
        <a:lstStyle/>
        <a:p>
          <a:endParaRPr lang="en-NZ" sz="1100" b="0"/>
        </a:p>
      </dgm:t>
    </dgm:pt>
    <dgm:pt modelId="{AE5A3E5F-9267-4CE2-93D5-2D7C73B7A846}">
      <dgm:prSet phldrT="[Text]" custT="1"/>
      <dgm:spPr/>
      <dgm:t>
        <a:bodyPr/>
        <a:lstStyle/>
        <a:p>
          <a:pPr algn="l"/>
          <a:r>
            <a:rPr lang="en-NZ" sz="1100" b="1"/>
            <a:t>Whakamōhio/Inform </a:t>
          </a:r>
        </a:p>
        <a:p>
          <a:pPr algn="l"/>
          <a:r>
            <a:rPr lang="en-NZ" sz="1100" b="0" i="1"/>
            <a:t>Providing clear, balanced and objective information.</a:t>
          </a:r>
          <a:endParaRPr lang="en-NZ" sz="1100" b="0"/>
        </a:p>
      </dgm:t>
    </dgm:pt>
    <dgm:pt modelId="{AE5064E7-6EF2-431B-BFB7-B21A0E4AE751}" type="parTrans" cxnId="{01BB7EF8-FAA7-4233-A6D2-BD326AA1B8D1}">
      <dgm:prSet/>
      <dgm:spPr/>
      <dgm:t>
        <a:bodyPr/>
        <a:lstStyle/>
        <a:p>
          <a:endParaRPr lang="en-NZ" sz="1100" b="0"/>
        </a:p>
      </dgm:t>
    </dgm:pt>
    <dgm:pt modelId="{4AD5A411-FE98-419C-AC0D-25E9ED4CCF2A}" type="sibTrans" cxnId="{01BB7EF8-FAA7-4233-A6D2-BD326AA1B8D1}">
      <dgm:prSet/>
      <dgm:spPr/>
      <dgm:t>
        <a:bodyPr/>
        <a:lstStyle/>
        <a:p>
          <a:endParaRPr lang="en-NZ" sz="1100" b="0"/>
        </a:p>
      </dgm:t>
    </dgm:pt>
    <dgm:pt modelId="{A56B9E43-6F39-43F4-B813-A87921B6D0DD}">
      <dgm:prSet phldrT="[Text]" custT="1"/>
      <dgm:spPr/>
      <dgm:t>
        <a:bodyPr/>
        <a:lstStyle/>
        <a:p>
          <a:pPr algn="l"/>
          <a:endParaRPr lang="en-NZ" sz="1100" b="0"/>
        </a:p>
        <a:p>
          <a:pPr algn="l"/>
          <a:endParaRPr lang="en-NZ" sz="1100" b="0"/>
        </a:p>
        <a:p>
          <a:pPr algn="l"/>
          <a:endParaRPr lang="en-NZ" sz="1100" b="0"/>
        </a:p>
        <a:p>
          <a:pPr algn="l"/>
          <a:r>
            <a:rPr lang="en-NZ" sz="1100" b="0"/>
            <a:t>   </a:t>
          </a:r>
        </a:p>
      </dgm:t>
    </dgm:pt>
    <dgm:pt modelId="{052836EE-8C06-48E6-9F58-4565C504CB86}" type="parTrans" cxnId="{DA2E3EC2-BBE0-4470-A4D3-ECF925E8EB1D}">
      <dgm:prSet/>
      <dgm:spPr/>
      <dgm:t>
        <a:bodyPr/>
        <a:lstStyle/>
        <a:p>
          <a:endParaRPr lang="en-NZ" sz="1100" b="0"/>
        </a:p>
      </dgm:t>
    </dgm:pt>
    <dgm:pt modelId="{8FD1FE48-AF62-457A-9BF1-5852F304F7C6}" type="sibTrans" cxnId="{DA2E3EC2-BBE0-4470-A4D3-ECF925E8EB1D}">
      <dgm:prSet/>
      <dgm:spPr/>
      <dgm:t>
        <a:bodyPr/>
        <a:lstStyle/>
        <a:p>
          <a:endParaRPr lang="en-NZ" sz="1100" b="0"/>
        </a:p>
      </dgm:t>
    </dgm:pt>
    <dgm:pt modelId="{DE1406D4-D6CB-4A07-8326-523A2A2DEACE}" type="pres">
      <dgm:prSet presAssocID="{AF400068-53F3-4B8E-8109-FD5B5B6998EE}" presName="Name0" presStyleCnt="0">
        <dgm:presLayoutVars>
          <dgm:chMax val="5"/>
          <dgm:chPref val="5"/>
          <dgm:dir/>
          <dgm:animLvl val="lvl"/>
        </dgm:presLayoutVars>
      </dgm:prSet>
      <dgm:spPr/>
      <dgm:t>
        <a:bodyPr/>
        <a:lstStyle/>
        <a:p>
          <a:endParaRPr lang="en-NZ"/>
        </a:p>
      </dgm:t>
    </dgm:pt>
    <dgm:pt modelId="{F5A27049-4929-4F13-804E-25E3F8F7881C}" type="pres">
      <dgm:prSet presAssocID="{A400C672-F85C-4314-A34C-BF6ED5EB2608}" presName="parentText1" presStyleLbl="node1" presStyleIdx="0" presStyleCnt="3" custScaleX="100580" custScaleY="116570" custLinFactNeighborX="2474" custLinFactNeighborY="-15632">
        <dgm:presLayoutVars>
          <dgm:chMax/>
          <dgm:chPref val="3"/>
          <dgm:bulletEnabled val="1"/>
        </dgm:presLayoutVars>
      </dgm:prSet>
      <dgm:spPr/>
      <dgm:t>
        <a:bodyPr/>
        <a:lstStyle/>
        <a:p>
          <a:endParaRPr lang="en-NZ"/>
        </a:p>
      </dgm:t>
    </dgm:pt>
    <dgm:pt modelId="{27D6A396-FB2D-43AF-909F-B4205C920BA9}" type="pres">
      <dgm:prSet presAssocID="{A400C672-F85C-4314-A34C-BF6ED5EB2608}" presName="childText1" presStyleLbl="solidAlignAcc1" presStyleIdx="0" presStyleCnt="3" custScaleX="82763" custScaleY="151509" custLinFactNeighborX="-3505" custLinFactNeighborY="16421">
        <dgm:presLayoutVars>
          <dgm:chMax val="0"/>
          <dgm:chPref val="0"/>
          <dgm:bulletEnabled val="1"/>
        </dgm:presLayoutVars>
      </dgm:prSet>
      <dgm:spPr/>
      <dgm:t>
        <a:bodyPr/>
        <a:lstStyle/>
        <a:p>
          <a:endParaRPr lang="en-NZ"/>
        </a:p>
      </dgm:t>
    </dgm:pt>
    <dgm:pt modelId="{1001DC87-F7E7-47A2-9204-779D6AC9D8C5}" type="pres">
      <dgm:prSet presAssocID="{6B3F1841-81FC-4B1B-B811-FC4B49C53B5A}" presName="parentText2" presStyleLbl="node1" presStyleIdx="1" presStyleCnt="3" custScaleX="107543" custScaleY="78573" custLinFactNeighborX="-906" custLinFactNeighborY="-25579">
        <dgm:presLayoutVars>
          <dgm:chMax/>
          <dgm:chPref val="3"/>
          <dgm:bulletEnabled val="1"/>
        </dgm:presLayoutVars>
      </dgm:prSet>
      <dgm:spPr/>
      <dgm:t>
        <a:bodyPr/>
        <a:lstStyle/>
        <a:p>
          <a:endParaRPr lang="en-NZ"/>
        </a:p>
      </dgm:t>
    </dgm:pt>
    <dgm:pt modelId="{35C928C7-05C2-4936-9F11-CDE63C925288}" type="pres">
      <dgm:prSet presAssocID="{6B3F1841-81FC-4B1B-B811-FC4B49C53B5A}" presName="childText2" presStyleLbl="solidAlignAcc1" presStyleIdx="1" presStyleCnt="3" custScaleX="100397" custScaleY="144528" custLinFactNeighborX="-11463" custLinFactNeighborY="3286">
        <dgm:presLayoutVars>
          <dgm:chMax val="0"/>
          <dgm:chPref val="0"/>
          <dgm:bulletEnabled val="1"/>
        </dgm:presLayoutVars>
      </dgm:prSet>
      <dgm:spPr/>
      <dgm:t>
        <a:bodyPr/>
        <a:lstStyle/>
        <a:p>
          <a:endParaRPr lang="en-NZ"/>
        </a:p>
      </dgm:t>
    </dgm:pt>
    <dgm:pt modelId="{6BC061FE-1B22-44C0-896C-14D260620164}" type="pres">
      <dgm:prSet presAssocID="{BC1EF905-1D90-46A8-97F5-FEE84C45B988}" presName="parentText3" presStyleLbl="node1" presStyleIdx="2" presStyleCnt="3" custScaleX="119143" custScaleY="74186" custLinFactNeighborX="-539" custLinFactNeighborY="-28421">
        <dgm:presLayoutVars>
          <dgm:chMax/>
          <dgm:chPref val="3"/>
          <dgm:bulletEnabled val="1"/>
        </dgm:presLayoutVars>
      </dgm:prSet>
      <dgm:spPr/>
      <dgm:t>
        <a:bodyPr/>
        <a:lstStyle/>
        <a:p>
          <a:endParaRPr lang="en-NZ"/>
        </a:p>
      </dgm:t>
    </dgm:pt>
    <dgm:pt modelId="{C930DC0E-14D9-45E0-AFC3-995118EA69E1}" type="pres">
      <dgm:prSet presAssocID="{BC1EF905-1D90-46A8-97F5-FEE84C45B988}" presName="childText3" presStyleLbl="solidAlignAcc1" presStyleIdx="2" presStyleCnt="3" custScaleX="92425" custScaleY="127463" custLinFactNeighborX="-14814" custLinFactNeighborY="-4464">
        <dgm:presLayoutVars>
          <dgm:chMax val="0"/>
          <dgm:chPref val="0"/>
          <dgm:bulletEnabled val="1"/>
        </dgm:presLayoutVars>
      </dgm:prSet>
      <dgm:spPr/>
      <dgm:t>
        <a:bodyPr/>
        <a:lstStyle/>
        <a:p>
          <a:endParaRPr lang="en-NZ"/>
        </a:p>
      </dgm:t>
    </dgm:pt>
  </dgm:ptLst>
  <dgm:cxnLst>
    <dgm:cxn modelId="{ABCCC13C-9D9B-4906-A3EA-56A93BC278F2}" type="presOf" srcId="{6B3F1841-81FC-4B1B-B811-FC4B49C53B5A}" destId="{1001DC87-F7E7-47A2-9204-779D6AC9D8C5}" srcOrd="0" destOrd="0" presId="urn:microsoft.com/office/officeart/2009/3/layout/IncreasingArrowsProcess"/>
    <dgm:cxn modelId="{46928D30-23DB-4F8E-8C7D-8570B568B172}" type="presOf" srcId="{BC1EF905-1D90-46A8-97F5-FEE84C45B988}" destId="{6BC061FE-1B22-44C0-896C-14D260620164}" srcOrd="0" destOrd="0" presId="urn:microsoft.com/office/officeart/2009/3/layout/IncreasingArrowsProcess"/>
    <dgm:cxn modelId="{97FDD94C-6357-442E-B625-F288C2F73E6D}" srcId="{AF400068-53F3-4B8E-8109-FD5B5B6998EE}" destId="{BC1EF905-1D90-46A8-97F5-FEE84C45B988}" srcOrd="2" destOrd="0" parTransId="{22EC39F2-D3EF-4DF9-84B8-F3914B271D42}" sibTransId="{F6E3DF1A-C147-4D85-85A4-1E50B1597E91}"/>
    <dgm:cxn modelId="{01BB7EF8-FAA7-4233-A6D2-BD326AA1B8D1}" srcId="{A400C672-F85C-4314-A34C-BF6ED5EB2608}" destId="{AE5A3E5F-9267-4CE2-93D5-2D7C73B7A846}" srcOrd="0" destOrd="0" parTransId="{AE5064E7-6EF2-431B-BFB7-B21A0E4AE751}" sibTransId="{4AD5A411-FE98-419C-AC0D-25E9ED4CCF2A}"/>
    <dgm:cxn modelId="{BD8A5413-C530-4819-8AA6-CF821A16C817}" type="presOf" srcId="{AE5A3E5F-9267-4CE2-93D5-2D7C73B7A846}" destId="{27D6A396-FB2D-43AF-909F-B4205C920BA9}" srcOrd="0" destOrd="0" presId="urn:microsoft.com/office/officeart/2009/3/layout/IncreasingArrowsProcess"/>
    <dgm:cxn modelId="{5D0C576B-A5C8-4967-A01C-0E202E3AE202}" type="presOf" srcId="{18B361E0-C33C-4014-AA79-8C6998C779AB}" destId="{35C928C7-05C2-4936-9F11-CDE63C925288}" srcOrd="0" destOrd="0" presId="urn:microsoft.com/office/officeart/2009/3/layout/IncreasingArrowsProcess"/>
    <dgm:cxn modelId="{0372A37B-B55E-48DF-B85E-C58052200F09}" type="presOf" srcId="{AF400068-53F3-4B8E-8109-FD5B5B6998EE}" destId="{DE1406D4-D6CB-4A07-8326-523A2A2DEACE}" srcOrd="0" destOrd="0" presId="urn:microsoft.com/office/officeart/2009/3/layout/IncreasingArrowsProcess"/>
    <dgm:cxn modelId="{677E8372-B912-40B6-9EB5-2186F923D6E2}" srcId="{6B3F1841-81FC-4B1B-B811-FC4B49C53B5A}" destId="{18B361E0-C33C-4014-AA79-8C6998C779AB}" srcOrd="0" destOrd="0" parTransId="{C95CC572-7EFF-4D05-B1F3-C2E4A158B290}" sibTransId="{38B0BC14-0F99-4AB8-84C2-5C498974AACD}"/>
    <dgm:cxn modelId="{5DC5B979-4FAE-491F-881F-D25AC93B1AF6}" srcId="{AF400068-53F3-4B8E-8109-FD5B5B6998EE}" destId="{6B3F1841-81FC-4B1B-B811-FC4B49C53B5A}" srcOrd="1" destOrd="0" parTransId="{8B573E6A-0A1F-4E4B-B921-B7483D061F43}" sibTransId="{1E70CDC2-08E2-4A73-890B-E6DCD49FEFBE}"/>
    <dgm:cxn modelId="{B88806CC-71EA-4F49-9D46-D939232CFCD1}" srcId="{AF400068-53F3-4B8E-8109-FD5B5B6998EE}" destId="{A400C672-F85C-4314-A34C-BF6ED5EB2608}" srcOrd="0" destOrd="0" parTransId="{60953D15-D120-4F24-BD52-B086D03D8920}" sibTransId="{7310ACCD-E09C-4CD6-B7A8-CDF959748CCE}"/>
    <dgm:cxn modelId="{E3E2DF8B-B862-48CD-9D65-B6DE6C3B49B7}" srcId="{BC1EF905-1D90-46A8-97F5-FEE84C45B988}" destId="{CB9B6D91-0771-415B-A222-86A1A6B047AB}" srcOrd="0" destOrd="0" parTransId="{E2F15444-16DA-4324-89F2-A4DF49E8C75A}" sibTransId="{9DAD7E4C-E466-49EF-8007-31C1B3056F08}"/>
    <dgm:cxn modelId="{6F5CB76F-DDE0-475B-B8E8-0E3E16EAF695}" type="presOf" srcId="{A400C672-F85C-4314-A34C-BF6ED5EB2608}" destId="{F5A27049-4929-4F13-804E-25E3F8F7881C}" srcOrd="0" destOrd="0" presId="urn:microsoft.com/office/officeart/2009/3/layout/IncreasingArrowsProcess"/>
    <dgm:cxn modelId="{CFF6024E-28E8-4106-B32B-3F6DA9036DC8}" type="presOf" srcId="{CB9B6D91-0771-415B-A222-86A1A6B047AB}" destId="{C930DC0E-14D9-45E0-AFC3-995118EA69E1}" srcOrd="0" destOrd="0" presId="urn:microsoft.com/office/officeart/2009/3/layout/IncreasingArrowsProcess"/>
    <dgm:cxn modelId="{DA2E3EC2-BBE0-4470-A4D3-ECF925E8EB1D}" srcId="{A400C672-F85C-4314-A34C-BF6ED5EB2608}" destId="{A56B9E43-6F39-43F4-B813-A87921B6D0DD}" srcOrd="1" destOrd="0" parTransId="{052836EE-8C06-48E6-9F58-4565C504CB86}" sibTransId="{8FD1FE48-AF62-457A-9BF1-5852F304F7C6}"/>
    <dgm:cxn modelId="{C75D5BED-B6F6-4D5F-952B-31A55F5BE49E}" type="presOf" srcId="{A56B9E43-6F39-43F4-B813-A87921B6D0DD}" destId="{27D6A396-FB2D-43AF-909F-B4205C920BA9}" srcOrd="0" destOrd="1" presId="urn:microsoft.com/office/officeart/2009/3/layout/IncreasingArrowsProcess"/>
    <dgm:cxn modelId="{9AE16B77-FE7C-45DC-B62A-48367094FE2F}" type="presParOf" srcId="{DE1406D4-D6CB-4A07-8326-523A2A2DEACE}" destId="{F5A27049-4929-4F13-804E-25E3F8F7881C}" srcOrd="0" destOrd="0" presId="urn:microsoft.com/office/officeart/2009/3/layout/IncreasingArrowsProcess"/>
    <dgm:cxn modelId="{4C4BB3AB-4198-43F7-B3B5-B53C04CB102B}" type="presParOf" srcId="{DE1406D4-D6CB-4A07-8326-523A2A2DEACE}" destId="{27D6A396-FB2D-43AF-909F-B4205C920BA9}" srcOrd="1" destOrd="0" presId="urn:microsoft.com/office/officeart/2009/3/layout/IncreasingArrowsProcess"/>
    <dgm:cxn modelId="{C88897C5-5382-42D0-9429-A16EFF290EC2}" type="presParOf" srcId="{DE1406D4-D6CB-4A07-8326-523A2A2DEACE}" destId="{1001DC87-F7E7-47A2-9204-779D6AC9D8C5}" srcOrd="2" destOrd="0" presId="urn:microsoft.com/office/officeart/2009/3/layout/IncreasingArrowsProcess"/>
    <dgm:cxn modelId="{5098F477-12B5-40AB-9262-70DD75CF510A}" type="presParOf" srcId="{DE1406D4-D6CB-4A07-8326-523A2A2DEACE}" destId="{35C928C7-05C2-4936-9F11-CDE63C925288}" srcOrd="3" destOrd="0" presId="urn:microsoft.com/office/officeart/2009/3/layout/IncreasingArrowsProcess"/>
    <dgm:cxn modelId="{C4BDF456-75EB-4B90-BBAA-D6C9D1F8FCED}" type="presParOf" srcId="{DE1406D4-D6CB-4A07-8326-523A2A2DEACE}" destId="{6BC061FE-1B22-44C0-896C-14D260620164}" srcOrd="4" destOrd="0" presId="urn:microsoft.com/office/officeart/2009/3/layout/IncreasingArrowsProcess"/>
    <dgm:cxn modelId="{0FB801A9-5F75-489C-97B8-E10AAA340AA5}" type="presParOf" srcId="{DE1406D4-D6CB-4A07-8326-523A2A2DEACE}" destId="{C930DC0E-14D9-45E0-AFC3-995118EA69E1}" srcOrd="5" destOrd="0" presId="urn:microsoft.com/office/officeart/2009/3/layout/IncreasingArrows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B0BA9-BB2A-4033-BA46-82298241075B}">
      <dsp:nvSpPr>
        <dsp:cNvPr id="0" name=""/>
        <dsp:cNvSpPr/>
      </dsp:nvSpPr>
      <dsp:spPr>
        <a:xfrm>
          <a:off x="4006" y="0"/>
          <a:ext cx="1044907" cy="1888067"/>
        </a:xfrm>
        <a:prstGeom prst="roundRect">
          <a:avLst>
            <a:gd name="adj" fmla="val 10000"/>
          </a:avLst>
        </a:prstGeom>
        <a:solidFill>
          <a:srgbClr val="037299">
            <a:alpha val="14902"/>
          </a:srgb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kern="1200">
              <a:solidFill>
                <a:schemeClr val="accent1">
                  <a:lumMod val="50000"/>
                </a:schemeClr>
              </a:solidFill>
              <a:effectLst/>
            </a:rPr>
            <a:t>Reconnect </a:t>
          </a:r>
          <a:r>
            <a:rPr lang="en-NZ" sz="1400" i="1" kern="1200">
              <a:solidFill>
                <a:schemeClr val="accent1">
                  <a:lumMod val="50000"/>
                </a:schemeClr>
              </a:solidFill>
              <a:effectLst/>
            </a:rPr>
            <a:t>Tūhononga</a:t>
          </a:r>
        </a:p>
      </dsp:txBody>
      <dsp:txXfrm>
        <a:off x="4006" y="755226"/>
        <a:ext cx="1044907" cy="755226"/>
      </dsp:txXfrm>
    </dsp:sp>
    <dsp:sp modelId="{36AF8099-20E3-4F95-BE34-BCA402A1A9FA}">
      <dsp:nvSpPr>
        <dsp:cNvPr id="0" name=""/>
        <dsp:cNvSpPr/>
      </dsp:nvSpPr>
      <dsp:spPr>
        <a:xfrm>
          <a:off x="209087" y="113284"/>
          <a:ext cx="628726" cy="628726"/>
        </a:xfrm>
        <a:prstGeom prst="ellipse">
          <a:avLst/>
        </a:prstGeom>
        <a:blipFill rotWithShape="1">
          <a:blip xmlns:r="http://schemas.openxmlformats.org/officeDocument/2006/relationships" r:embed="rId1"/>
          <a:stretch>
            <a:fillRect/>
          </a:stretch>
        </a:blipFill>
        <a:ln w="0" cap="flat" cmpd="sng" algn="ctr">
          <a:noFill/>
          <a:prstDash val="solid"/>
        </a:ln>
        <a:effectLst/>
      </dsp:spPr>
      <dsp:style>
        <a:lnRef idx="3">
          <a:scrgbClr r="0" g="0" b="0"/>
        </a:lnRef>
        <a:fillRef idx="1">
          <a:scrgbClr r="0" g="0" b="0"/>
        </a:fillRef>
        <a:effectRef idx="1">
          <a:scrgbClr r="0" g="0" b="0"/>
        </a:effectRef>
        <a:fontRef idx="minor"/>
      </dsp:style>
    </dsp:sp>
    <dsp:sp modelId="{DEDAE884-16F5-4CD8-9029-87E7C2EB5D9D}">
      <dsp:nvSpPr>
        <dsp:cNvPr id="0" name=""/>
        <dsp:cNvSpPr/>
      </dsp:nvSpPr>
      <dsp:spPr>
        <a:xfrm>
          <a:off x="1077252" y="0"/>
          <a:ext cx="1044907" cy="1888067"/>
        </a:xfrm>
        <a:prstGeom prst="roundRect">
          <a:avLst>
            <a:gd name="adj" fmla="val 10000"/>
          </a:avLst>
        </a:prstGeom>
        <a:solidFill>
          <a:srgbClr val="037299">
            <a:alpha val="14902"/>
          </a:srgb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kern="1200">
              <a:solidFill>
                <a:schemeClr val="accent1">
                  <a:lumMod val="50000"/>
                </a:schemeClr>
              </a:solidFill>
              <a:effectLst/>
            </a:rPr>
            <a:t>Restore </a:t>
          </a:r>
          <a:r>
            <a:rPr lang="en-NZ" sz="1400" i="1" kern="1200">
              <a:solidFill>
                <a:schemeClr val="accent1">
                  <a:lumMod val="50000"/>
                </a:schemeClr>
              </a:solidFill>
              <a:effectLst/>
            </a:rPr>
            <a:t>Whakahou</a:t>
          </a:r>
        </a:p>
      </dsp:txBody>
      <dsp:txXfrm>
        <a:off x="1077252" y="755226"/>
        <a:ext cx="1044907" cy="755226"/>
      </dsp:txXfrm>
    </dsp:sp>
    <dsp:sp modelId="{A48CE41A-B1FE-42AB-9A9C-0C3FBDAF568F}">
      <dsp:nvSpPr>
        <dsp:cNvPr id="0" name=""/>
        <dsp:cNvSpPr/>
      </dsp:nvSpPr>
      <dsp:spPr>
        <a:xfrm>
          <a:off x="1285342" y="113284"/>
          <a:ext cx="628726" cy="62872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38100" cap="flat" cmpd="sng" algn="ctr">
          <a:noFill/>
          <a:prstDash val="solid"/>
        </a:ln>
        <a:effectLst/>
      </dsp:spPr>
      <dsp:style>
        <a:lnRef idx="3">
          <a:scrgbClr r="0" g="0" b="0"/>
        </a:lnRef>
        <a:fillRef idx="1">
          <a:scrgbClr r="0" g="0" b="0"/>
        </a:fillRef>
        <a:effectRef idx="1">
          <a:scrgbClr r="0" g="0" b="0"/>
        </a:effectRef>
        <a:fontRef idx="minor"/>
      </dsp:style>
    </dsp:sp>
    <dsp:sp modelId="{1438EBE3-13DB-4AD1-A037-B60772576044}">
      <dsp:nvSpPr>
        <dsp:cNvPr id="0" name=""/>
        <dsp:cNvSpPr/>
      </dsp:nvSpPr>
      <dsp:spPr>
        <a:xfrm>
          <a:off x="2153507" y="0"/>
          <a:ext cx="1044907" cy="1888067"/>
        </a:xfrm>
        <a:prstGeom prst="roundRect">
          <a:avLst>
            <a:gd name="adj" fmla="val 10000"/>
          </a:avLst>
        </a:prstGeom>
        <a:solidFill>
          <a:srgbClr val="037299">
            <a:alpha val="14902"/>
          </a:srgb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kern="1200">
              <a:solidFill>
                <a:schemeClr val="accent1">
                  <a:lumMod val="50000"/>
                </a:schemeClr>
              </a:solidFill>
              <a:effectLst/>
            </a:rPr>
            <a:t>Rebuild </a:t>
          </a:r>
          <a:r>
            <a:rPr lang="en-NZ" sz="1400" i="1" kern="1200">
              <a:solidFill>
                <a:schemeClr val="accent1">
                  <a:lumMod val="50000"/>
                </a:schemeClr>
              </a:solidFill>
              <a:effectLst/>
            </a:rPr>
            <a:t>Waihanga</a:t>
          </a:r>
        </a:p>
      </dsp:txBody>
      <dsp:txXfrm>
        <a:off x="2153507" y="755226"/>
        <a:ext cx="1044907" cy="755226"/>
      </dsp:txXfrm>
    </dsp:sp>
    <dsp:sp modelId="{DE775F6F-73F8-4915-859E-A2E4287E22EF}">
      <dsp:nvSpPr>
        <dsp:cNvPr id="0" name=""/>
        <dsp:cNvSpPr/>
      </dsp:nvSpPr>
      <dsp:spPr>
        <a:xfrm>
          <a:off x="2361597" y="113284"/>
          <a:ext cx="628726" cy="62872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38100" cap="flat" cmpd="sng" algn="ctr">
          <a:noFill/>
          <a:prstDash val="solid"/>
        </a:ln>
        <a:effectLst/>
      </dsp:spPr>
      <dsp:style>
        <a:lnRef idx="3">
          <a:scrgbClr r="0" g="0" b="0"/>
        </a:lnRef>
        <a:fillRef idx="1">
          <a:scrgbClr r="0" g="0" b="0"/>
        </a:fillRef>
        <a:effectRef idx="1">
          <a:scrgbClr r="0" g="0" b="0"/>
        </a:effectRef>
        <a:fontRef idx="minor"/>
      </dsp:style>
    </dsp:sp>
    <dsp:sp modelId="{637E4435-644D-4007-B5AE-5DB8308754D4}">
      <dsp:nvSpPr>
        <dsp:cNvPr id="0" name=""/>
        <dsp:cNvSpPr/>
      </dsp:nvSpPr>
      <dsp:spPr>
        <a:xfrm>
          <a:off x="3229762" y="0"/>
          <a:ext cx="1044907" cy="1888067"/>
        </a:xfrm>
        <a:prstGeom prst="roundRect">
          <a:avLst>
            <a:gd name="adj" fmla="val 10000"/>
          </a:avLst>
        </a:prstGeom>
        <a:solidFill>
          <a:srgbClr val="037299">
            <a:alpha val="14902"/>
          </a:srgb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NZ" sz="1400" kern="1200">
              <a:solidFill>
                <a:schemeClr val="accent1">
                  <a:lumMod val="50000"/>
                </a:schemeClr>
              </a:solidFill>
            </a:rPr>
            <a:t>Regenerate  </a:t>
          </a:r>
          <a:r>
            <a:rPr lang="en-NZ" sz="1400" i="1" kern="1200">
              <a:solidFill>
                <a:schemeClr val="accent1">
                  <a:lumMod val="50000"/>
                </a:schemeClr>
              </a:solidFill>
            </a:rPr>
            <a:t>Whakatipu</a:t>
          </a:r>
        </a:p>
      </dsp:txBody>
      <dsp:txXfrm>
        <a:off x="3229762" y="755226"/>
        <a:ext cx="1044907" cy="755226"/>
      </dsp:txXfrm>
    </dsp:sp>
    <dsp:sp modelId="{E8C7F959-4F01-4891-8FA9-7E58830F308D}">
      <dsp:nvSpPr>
        <dsp:cNvPr id="0" name=""/>
        <dsp:cNvSpPr/>
      </dsp:nvSpPr>
      <dsp:spPr>
        <a:xfrm>
          <a:off x="3437853" y="113284"/>
          <a:ext cx="628726" cy="628726"/>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38100" cap="flat" cmpd="sng" algn="ctr">
          <a:noFill/>
          <a:prstDash val="solid"/>
        </a:ln>
        <a:effectLst/>
      </dsp:spPr>
      <dsp:style>
        <a:lnRef idx="3">
          <a:scrgbClr r="0" g="0" b="0"/>
        </a:lnRef>
        <a:fillRef idx="1">
          <a:scrgbClr r="0" g="0" b="0"/>
        </a:fillRef>
        <a:effectRef idx="1">
          <a:scrgbClr r="0" g="0" b="0"/>
        </a:effectRef>
        <a:fontRef idx="minor"/>
      </dsp:style>
    </dsp:sp>
    <dsp:sp modelId="{9DFCCBA3-579A-4BE3-9029-0FDC59B8CB20}">
      <dsp:nvSpPr>
        <dsp:cNvPr id="0" name=""/>
        <dsp:cNvSpPr/>
      </dsp:nvSpPr>
      <dsp:spPr>
        <a:xfrm>
          <a:off x="143117" y="1437071"/>
          <a:ext cx="3887000" cy="405483"/>
        </a:xfrm>
        <a:prstGeom prst="leftRightArrow">
          <a:avLst/>
        </a:prstGeom>
        <a:solidFill>
          <a:schemeClr val="bg1"/>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27049-4929-4F13-804E-25E3F8F7881C}">
      <dsp:nvSpPr>
        <dsp:cNvPr id="0" name=""/>
        <dsp:cNvSpPr/>
      </dsp:nvSpPr>
      <dsp:spPr>
        <a:xfrm>
          <a:off x="0" y="161085"/>
          <a:ext cx="6005195" cy="1013624"/>
        </a:xfrm>
        <a:prstGeom prst="rightArrow">
          <a:avLst>
            <a:gd name="adj1" fmla="val 50000"/>
            <a:gd name="adj2" fmla="val 5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38040" numCol="1" spcCol="1270" anchor="ctr" anchorCtr="0">
          <a:noAutofit/>
        </a:bodyPr>
        <a:lstStyle/>
        <a:p>
          <a:pPr lvl="0" algn="l" defTabSz="488950">
            <a:lnSpc>
              <a:spcPct val="90000"/>
            </a:lnSpc>
            <a:spcBef>
              <a:spcPct val="0"/>
            </a:spcBef>
            <a:spcAft>
              <a:spcPct val="35000"/>
            </a:spcAft>
          </a:pPr>
          <a:r>
            <a:rPr lang="en-NZ" sz="1100" b="1" kern="1200"/>
            <a:t>FIX (short term)</a:t>
          </a:r>
        </a:p>
      </dsp:txBody>
      <dsp:txXfrm>
        <a:off x="0" y="414491"/>
        <a:ext cx="5751789" cy="506812"/>
      </dsp:txXfrm>
    </dsp:sp>
    <dsp:sp modelId="{27D6A396-FB2D-43AF-909F-B4205C920BA9}">
      <dsp:nvSpPr>
        <dsp:cNvPr id="0" name=""/>
        <dsp:cNvSpPr/>
      </dsp:nvSpPr>
      <dsp:spPr>
        <a:xfrm>
          <a:off x="10283" y="883254"/>
          <a:ext cx="1521957" cy="2537863"/>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NZ" sz="1100" b="1" kern="1200"/>
            <a:t>Whakamōhio/Inform </a:t>
          </a:r>
        </a:p>
        <a:p>
          <a:pPr lvl="0" algn="l" defTabSz="488950">
            <a:lnSpc>
              <a:spcPct val="90000"/>
            </a:lnSpc>
            <a:spcBef>
              <a:spcPct val="0"/>
            </a:spcBef>
            <a:spcAft>
              <a:spcPct val="35000"/>
            </a:spcAft>
          </a:pPr>
          <a:r>
            <a:rPr lang="en-NZ" sz="1100" b="0" i="1" kern="1200"/>
            <a:t>Providing clear, balanced and objective information.</a:t>
          </a:r>
          <a:endParaRPr lang="en-NZ" sz="1100" b="0" kern="1200"/>
        </a:p>
        <a:p>
          <a:pPr lvl="0" algn="l" defTabSz="488950">
            <a:lnSpc>
              <a:spcPct val="90000"/>
            </a:lnSpc>
            <a:spcBef>
              <a:spcPct val="0"/>
            </a:spcBef>
            <a:spcAft>
              <a:spcPct val="35000"/>
            </a:spcAft>
          </a:pPr>
          <a:endParaRPr lang="en-NZ" sz="1100" b="0" kern="1200"/>
        </a:p>
        <a:p>
          <a:pPr lvl="0" algn="l" defTabSz="488950">
            <a:lnSpc>
              <a:spcPct val="90000"/>
            </a:lnSpc>
            <a:spcBef>
              <a:spcPct val="0"/>
            </a:spcBef>
            <a:spcAft>
              <a:spcPct val="35000"/>
            </a:spcAft>
          </a:pPr>
          <a:endParaRPr lang="en-NZ" sz="1100" b="0" kern="1200"/>
        </a:p>
        <a:p>
          <a:pPr lvl="0" algn="l" defTabSz="488950">
            <a:lnSpc>
              <a:spcPct val="90000"/>
            </a:lnSpc>
            <a:spcBef>
              <a:spcPct val="0"/>
            </a:spcBef>
            <a:spcAft>
              <a:spcPct val="35000"/>
            </a:spcAft>
          </a:pPr>
          <a:endParaRPr lang="en-NZ" sz="1100" b="0" kern="1200"/>
        </a:p>
        <a:p>
          <a:pPr lvl="0" algn="l" defTabSz="488950">
            <a:lnSpc>
              <a:spcPct val="90000"/>
            </a:lnSpc>
            <a:spcBef>
              <a:spcPct val="0"/>
            </a:spcBef>
            <a:spcAft>
              <a:spcPct val="35000"/>
            </a:spcAft>
          </a:pPr>
          <a:r>
            <a:rPr lang="en-NZ" sz="1100" b="0" kern="1200"/>
            <a:t>   </a:t>
          </a:r>
        </a:p>
      </dsp:txBody>
      <dsp:txXfrm>
        <a:off x="10283" y="883254"/>
        <a:ext cx="1521957" cy="2537863"/>
      </dsp:txXfrm>
    </dsp:sp>
    <dsp:sp modelId="{1001DC87-F7E7-47A2-9204-779D6AC9D8C5}">
      <dsp:nvSpPr>
        <dsp:cNvPr id="0" name=""/>
        <dsp:cNvSpPr/>
      </dsp:nvSpPr>
      <dsp:spPr>
        <a:xfrm>
          <a:off x="1561926" y="529639"/>
          <a:ext cx="4443280" cy="683225"/>
        </a:xfrm>
        <a:prstGeom prst="rightArrow">
          <a:avLst>
            <a:gd name="adj1" fmla="val 50000"/>
            <a:gd name="adj2" fmla="val 5000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38040" numCol="1" spcCol="1270" anchor="ctr" anchorCtr="0">
          <a:noAutofit/>
        </a:bodyPr>
        <a:lstStyle/>
        <a:p>
          <a:pPr lvl="0" algn="l" defTabSz="488950">
            <a:lnSpc>
              <a:spcPct val="90000"/>
            </a:lnSpc>
            <a:spcBef>
              <a:spcPct val="0"/>
            </a:spcBef>
            <a:spcAft>
              <a:spcPct val="35000"/>
            </a:spcAft>
          </a:pPr>
          <a:r>
            <a:rPr lang="en-NZ" sz="1100" b="1" kern="1200"/>
            <a:t>FOCUS (medium term)</a:t>
          </a:r>
        </a:p>
      </dsp:txBody>
      <dsp:txXfrm>
        <a:off x="1561926" y="700445"/>
        <a:ext cx="4272474" cy="341613"/>
      </dsp:txXfrm>
    </dsp:sp>
    <dsp:sp modelId="{35C928C7-05C2-4936-9F11-CDE63C925288}">
      <dsp:nvSpPr>
        <dsp:cNvPr id="0" name=""/>
        <dsp:cNvSpPr/>
      </dsp:nvSpPr>
      <dsp:spPr>
        <a:xfrm>
          <a:off x="1540736" y="1011550"/>
          <a:ext cx="1846234" cy="2420927"/>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NZ" sz="1100" b="1" kern="1200"/>
            <a:t>Whakawhirinaki/Consult</a:t>
          </a:r>
        </a:p>
        <a:p>
          <a:pPr lvl="0" algn="l" defTabSz="488950">
            <a:lnSpc>
              <a:spcPct val="90000"/>
            </a:lnSpc>
            <a:spcBef>
              <a:spcPct val="0"/>
            </a:spcBef>
            <a:spcAft>
              <a:spcPct val="35000"/>
            </a:spcAft>
          </a:pPr>
          <a:r>
            <a:rPr lang="en-NZ" sz="1100" b="0" i="1" kern="1200"/>
            <a:t>Obtaining feedback as input to decision-making.</a:t>
          </a:r>
        </a:p>
        <a:p>
          <a:pPr lvl="0" algn="l" defTabSz="488950">
            <a:lnSpc>
              <a:spcPct val="90000"/>
            </a:lnSpc>
            <a:spcBef>
              <a:spcPct val="0"/>
            </a:spcBef>
            <a:spcAft>
              <a:spcPct val="35000"/>
            </a:spcAft>
          </a:pPr>
          <a:endParaRPr lang="en-NZ" sz="1100" b="0" kern="1200"/>
        </a:p>
        <a:p>
          <a:pPr lvl="0" algn="l" defTabSz="488950">
            <a:lnSpc>
              <a:spcPct val="90000"/>
            </a:lnSpc>
            <a:spcBef>
              <a:spcPct val="0"/>
            </a:spcBef>
            <a:spcAft>
              <a:spcPct val="35000"/>
            </a:spcAft>
          </a:pPr>
          <a:r>
            <a:rPr lang="en-NZ" sz="1100" b="1" kern="1200"/>
            <a:t>Wawata/Involve </a:t>
          </a:r>
        </a:p>
        <a:p>
          <a:pPr lvl="0" algn="l" defTabSz="488950">
            <a:lnSpc>
              <a:spcPct val="90000"/>
            </a:lnSpc>
            <a:spcBef>
              <a:spcPct val="0"/>
            </a:spcBef>
            <a:spcAft>
              <a:spcPct val="35000"/>
            </a:spcAft>
          </a:pPr>
          <a:r>
            <a:rPr lang="en-NZ" sz="1100" b="0" i="1" kern="1200"/>
            <a:t>Working directly with people and ensuring that their aspirations are understood and reflected in outcomes.</a:t>
          </a:r>
          <a:endParaRPr lang="en-NZ" sz="1100" b="0" kern="1200"/>
        </a:p>
        <a:p>
          <a:pPr lvl="0" algn="l" defTabSz="488950">
            <a:lnSpc>
              <a:spcPct val="90000"/>
            </a:lnSpc>
            <a:spcBef>
              <a:spcPct val="0"/>
            </a:spcBef>
            <a:spcAft>
              <a:spcPct val="35000"/>
            </a:spcAft>
          </a:pPr>
          <a:endParaRPr lang="en-NZ" sz="1100" b="0" kern="1200"/>
        </a:p>
        <a:p>
          <a:pPr lvl="0" algn="l" defTabSz="488950">
            <a:lnSpc>
              <a:spcPct val="90000"/>
            </a:lnSpc>
            <a:spcBef>
              <a:spcPct val="0"/>
            </a:spcBef>
            <a:spcAft>
              <a:spcPct val="35000"/>
            </a:spcAft>
          </a:pPr>
          <a:endParaRPr lang="en-NZ" sz="1100" b="0" kern="1200"/>
        </a:p>
      </dsp:txBody>
      <dsp:txXfrm>
        <a:off x="1540736" y="1011550"/>
        <a:ext cx="1846234" cy="2420927"/>
      </dsp:txXfrm>
    </dsp:sp>
    <dsp:sp modelId="{6BC061FE-1B22-44C0-896C-14D260620164}">
      <dsp:nvSpPr>
        <dsp:cNvPr id="0" name=""/>
        <dsp:cNvSpPr/>
      </dsp:nvSpPr>
      <dsp:spPr>
        <a:xfrm>
          <a:off x="3362314" y="813847"/>
          <a:ext cx="2731588" cy="645078"/>
        </a:xfrm>
        <a:prstGeom prst="rightArrow">
          <a:avLst>
            <a:gd name="adj1" fmla="val 50000"/>
            <a:gd name="adj2" fmla="val 5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38040" numCol="1" spcCol="1270" anchor="ctr" anchorCtr="0">
          <a:noAutofit/>
        </a:bodyPr>
        <a:lstStyle/>
        <a:p>
          <a:pPr lvl="0" algn="l" defTabSz="488950">
            <a:lnSpc>
              <a:spcPct val="90000"/>
            </a:lnSpc>
            <a:spcBef>
              <a:spcPct val="0"/>
            </a:spcBef>
            <a:spcAft>
              <a:spcPct val="35000"/>
            </a:spcAft>
          </a:pPr>
          <a:r>
            <a:rPr lang="en-NZ" sz="1100" b="1" kern="1200"/>
            <a:t>FUTURE (long-term)</a:t>
          </a:r>
        </a:p>
      </dsp:txBody>
      <dsp:txXfrm>
        <a:off x="3362314" y="975117"/>
        <a:ext cx="2570319" cy="322539"/>
      </dsp:txXfrm>
    </dsp:sp>
    <dsp:sp modelId="{C930DC0E-14D9-45E0-AFC3-995118EA69E1}">
      <dsp:nvSpPr>
        <dsp:cNvPr id="0" name=""/>
        <dsp:cNvSpPr/>
      </dsp:nvSpPr>
      <dsp:spPr>
        <a:xfrm>
          <a:off x="3391347" y="1318965"/>
          <a:ext cx="1699634" cy="2103832"/>
        </a:xfrm>
        <a:prstGeom prst="rect">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NZ" sz="1100" b="1" kern="1200"/>
            <a:t>Mahi Tahi/Collaborate</a:t>
          </a:r>
        </a:p>
        <a:p>
          <a:pPr lvl="0" algn="l" defTabSz="488950">
            <a:lnSpc>
              <a:spcPct val="90000"/>
            </a:lnSpc>
            <a:spcBef>
              <a:spcPct val="0"/>
            </a:spcBef>
            <a:spcAft>
              <a:spcPct val="35000"/>
            </a:spcAft>
          </a:pPr>
          <a:r>
            <a:rPr lang="en-NZ" sz="1100" b="0" i="1" kern="1200"/>
            <a:t>Partnering in every aspect of the decision-making including the development of ideas and options.</a:t>
          </a:r>
          <a:endParaRPr lang="en-NZ" sz="1100" b="0" kern="1200"/>
        </a:p>
        <a:p>
          <a:pPr lvl="0" algn="l" defTabSz="488950">
            <a:lnSpc>
              <a:spcPct val="90000"/>
            </a:lnSpc>
            <a:spcBef>
              <a:spcPct val="0"/>
            </a:spcBef>
            <a:spcAft>
              <a:spcPct val="35000"/>
            </a:spcAft>
          </a:pPr>
          <a:r>
            <a:rPr lang="en-NZ" sz="1100" b="1" kern="1200"/>
            <a:t>Whakamana/Empower</a:t>
          </a:r>
        </a:p>
        <a:p>
          <a:pPr lvl="0" algn="l" defTabSz="488950">
            <a:lnSpc>
              <a:spcPct val="90000"/>
            </a:lnSpc>
            <a:spcBef>
              <a:spcPct val="0"/>
            </a:spcBef>
            <a:spcAft>
              <a:spcPct val="35000"/>
            </a:spcAft>
          </a:pPr>
          <a:r>
            <a:rPr lang="en-NZ" sz="1100" b="0" i="1" kern="1200"/>
            <a:t>Putting the decision-making in the hands of the community and implementing what they decide.</a:t>
          </a:r>
          <a:endParaRPr lang="en-NZ" sz="1100" b="0" kern="1200"/>
        </a:p>
      </dsp:txBody>
      <dsp:txXfrm>
        <a:off x="3391347" y="1318965"/>
        <a:ext cx="1699634" cy="2103832"/>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9BC14198B914B00A714316109F088DF" version="1.0.0">
  <systemFields>
    <field name="Objective-Id">
      <value order="0">A1257875</value>
    </field>
    <field name="Objective-Title">
      <value order="0">4. Communication and Partnership Plan</value>
    </field>
    <field name="Objective-Description">
      <value order="0">toolbox files</value>
    </field>
    <field name="Objective-CreationStamp">
      <value order="0">2018-02-22T02:30:52Z</value>
    </field>
    <field name="Objective-IsApproved">
      <value order="0">false</value>
    </field>
    <field name="Objective-IsPublished">
      <value order="0">false</value>
    </field>
    <field name="Objective-DatePublished">
      <value order="0"/>
    </field>
    <field name="Objective-ModificationStamp">
      <value order="0">2018-02-22T22:27:32Z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toolbox:toolbox:1 Strategy Planning and Intel</value>
    </field>
    <field name="Objective-Parent">
      <value order="0">1 Strategy Planning and Intel</value>
    </field>
    <field name="Objective-State">
      <value order="0">Being Drafted</value>
    </field>
    <field name="Objective-VersionId">
      <value order="0">vA1735350</value>
    </field>
    <field name="Objective-Version">
      <value order="0">0.1</value>
    </field>
    <field name="Objective-VersionNumber">
      <value order="0">1</value>
    </field>
    <field name="Objective-VersionComment">
      <value order="0">toolbox files</value>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To (Lookup list)">
        <value order="0">uA296</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Fields NOT required">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0E96401-8AE5-4FB8-A39D-5B503ADA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5769</Words>
  <Characters>32884</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Stewart</dc:creator>
  <cp:lastModifiedBy>Julian Reweti</cp:lastModifiedBy>
  <cp:revision>2</cp:revision>
  <cp:lastPrinted>2017-09-04T03:50:00Z</cp:lastPrinted>
  <dcterms:created xsi:type="dcterms:W3CDTF">2018-02-22T01:30:00Z</dcterms:created>
  <dcterms:modified xsi:type="dcterms:W3CDTF">2018-02-22T01:30:00Z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A1257875</vt:lpwstr>
  </property>
  <property fmtid="{D5CDD505-2E9C-101B-9397-08002B2CF9AE}" pid="4" name="Objective-Title">
    <vt:lpwstr>4. Communication and Partnership Plan</vt:lpwstr>
  </property>
  <property fmtid="{D5CDD505-2E9C-101B-9397-08002B2CF9AE}" pid="5" name="Objective-Comment">
    <vt:lpwstr/>
  </property>
  <property fmtid="{D5CDD505-2E9C-101B-9397-08002B2CF9AE}" pid="6" name="Objective-CreationStamp">
    <vt:filetime>2018-02-22T02:30:52Z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2018-02-22T22:27:32Z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toolbox:toolbox:1 Strategy Planning and Intel</vt:lpwstr>
  </property>
  <property fmtid="{D5CDD505-2E9C-101B-9397-08002B2CF9AE}" pid="13" name="Objective-Parent">
    <vt:lpwstr>1 Strategy Planning and Intel</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toolbox files</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port type [system]">
    <vt:lpwstr>General</vt:lpwstr>
  </property>
  <property fmtid="{D5CDD505-2E9C-101B-9397-08002B2CF9AE}" pid="23" name="Objective-Report - Date Published [system]">
    <vt:filetime>2017-08-29T12:00:00Z</vt:filetime>
  </property>
  <property fmtid="{D5CDD505-2E9C-101B-9397-08002B2CF9AE}" pid="24" name="Objective-Report Subject [system]">
    <vt:lpwstr>Communications</vt:lpwstr>
  </property>
  <property fmtid="{D5CDD505-2E9C-101B-9397-08002B2CF9AE}" pid="25" name="Objective-Report Description [system]">
    <vt:lpwstr/>
  </property>
  <property fmtid="{D5CDD505-2E9C-101B-9397-08002B2CF9AE}" pid="26" name="Objective-Author (lookup list) [system]">
    <vt:lpwstr/>
  </property>
  <property fmtid="{D5CDD505-2E9C-101B-9397-08002B2CF9AE}" pid="27" name="Objective-External Author [system]">
    <vt:lpwstr/>
  </property>
  <property fmtid="{D5CDD505-2E9C-101B-9397-08002B2CF9AE}" pid="28" name="Objective-Records - day box number [system]">
    <vt:lpwstr/>
  </property>
  <property fmtid="{D5CDD505-2E9C-101B-9397-08002B2CF9AE}" pid="29" name="Objective--- To (Lookup list) [system]">
    <vt:lpwstr/>
  </property>
  <property fmtid="{D5CDD505-2E9C-101B-9397-08002B2CF9AE}" pid="30" name="Objective--- To (free text) [system]">
    <vt:lpwstr/>
  </property>
  <property fmtid="{D5CDD505-2E9C-101B-9397-08002B2CF9AE}" pid="31" name="Objective--- From [system]">
    <vt:lpwstr/>
  </property>
  <property fmtid="{D5CDD505-2E9C-101B-9397-08002B2CF9AE}" pid="32" name="Objective--- Correspondence Date [system]">
    <vt:lpwstr/>
  </property>
  <property fmtid="{D5CDD505-2E9C-101B-9397-08002B2CF9AE}" pid="33" name="Objective--- Organisation Name [system]">
    <vt:lpwstr/>
  </property>
  <property fmtid="{D5CDD505-2E9C-101B-9397-08002B2CF9AE}" pid="34" name="Objective-Metadata Inheritance [system]">
    <vt:lpwstr/>
  </property>
  <property fmtid="{D5CDD505-2E9C-101B-9397-08002B2CF9AE}" pid="35" name="Objective-Description">
    <vt:lpwstr>toolbox files</vt:lpwstr>
  </property>
  <property fmtid="{D5CDD505-2E9C-101B-9397-08002B2CF9AE}" pid="36" name="Objective-VersionId">
    <vt:lpwstr>vA1735350</vt:lpwstr>
  </property>
  <property fmtid="{D5CDD505-2E9C-101B-9397-08002B2CF9AE}" pid="37" name="Objective-Reference Type">
    <vt:lpwstr>General</vt:lpwstr>
  </property>
  <property fmtid="{D5CDD505-2E9C-101B-9397-08002B2CF9AE}" pid="38" name="Objective-Metadata Inheritance">
    <vt:lpwstr/>
  </property>
  <property fmtid="{D5CDD505-2E9C-101B-9397-08002B2CF9AE}" pid="39" name="Objective--- Correspondence Date">
    <vt:filetime>2018-02-23T11:59:59Z</vt:filetime>
  </property>
  <property fmtid="{D5CDD505-2E9C-101B-9397-08002B2CF9AE}" pid="40" name="Objective--- From">
    <vt:lpwstr/>
  </property>
  <property fmtid="{D5CDD505-2E9C-101B-9397-08002B2CF9AE}" pid="41" name="Objective--- To (free text)">
    <vt:lpwstr/>
  </property>
  <property fmtid="{D5CDD505-2E9C-101B-9397-08002B2CF9AE}" pid="42" name="Objective-Records - day box number">
    <vt:lpwstr/>
  </property>
  <property fmtid="{D5CDD505-2E9C-101B-9397-08002B2CF9AE}" pid="43" name="Objective--- Organisation Name">
    <vt:lpwstr/>
  </property>
  <property fmtid="{D5CDD505-2E9C-101B-9397-08002B2CF9AE}" pid="44" name="Objective--- To (Lookup list)">
    <vt:lpwstr>uA296</vt:lpwstr>
  </property>
  <property fmtid="{D5CDD505-2E9C-101B-9397-08002B2CF9AE}" pid="45" name="Objective-Fields NOT required">
    <vt:lpwstr/>
  </property>
  <property fmtid="{D5CDD505-2E9C-101B-9397-08002B2CF9AE}" pid="46" name="Objective-Reference Type [system]">
    <vt:lpwstr>Publication</vt:lpwstr>
  </property>
</Properties>
</file>